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22408992"/>
        <w:docPartObj>
          <w:docPartGallery w:val="Cover Pages"/>
          <w:docPartUnique/>
        </w:docPartObj>
      </w:sdtPr>
      <w:sdtEndPr/>
      <w:sdtContent>
        <w:tbl>
          <w:tblPr>
            <w:tblW w:w="0" w:type="auto"/>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36"/>
            <w:gridCol w:w="9801"/>
          </w:tblGrid>
          <w:tr w:rsidR="00825F14" w:rsidTr="003D76A7">
            <w:trPr>
              <w:trHeight w:val="3960"/>
              <w:jc w:val="center"/>
            </w:trPr>
            <w:tc>
              <w:tcPr>
                <w:tcW w:w="0" w:type="auto"/>
                <w:tcBorders>
                  <w:top w:val="nil"/>
                  <w:left w:val="nil"/>
                  <w:bottom w:val="nil"/>
                  <w:right w:val="nil"/>
                </w:tcBorders>
                <w:shd w:val="clear" w:color="auto" w:fill="auto"/>
              </w:tcPr>
              <w:p w:rsidR="00825F14" w:rsidRDefault="00825F14">
                <w:pPr>
                  <w:pStyle w:val="Ingenmellomrom"/>
                </w:pPr>
              </w:p>
            </w:tc>
            <w:tc>
              <w:tcPr>
                <w:tcW w:w="0" w:type="auto"/>
                <w:tcBorders>
                  <w:top w:val="nil"/>
                  <w:left w:val="nil"/>
                  <w:bottom w:val="nil"/>
                  <w:right w:val="nil"/>
                </w:tcBorders>
                <w:shd w:val="clear" w:color="auto" w:fill="auto"/>
                <w:tcMar>
                  <w:left w:w="115" w:type="dxa"/>
                  <w:bottom w:w="115" w:type="dxa"/>
                </w:tcMar>
                <w:vAlign w:val="bottom"/>
              </w:tcPr>
              <w:p w:rsidR="00825F14" w:rsidRDefault="00BF62E2" w:rsidP="00E97006">
                <w:pPr>
                  <w:pStyle w:val="Ingenmellomrom"/>
                  <w:rPr>
                    <w:rFonts w:asciiTheme="majorHAnsi" w:eastAsiaTheme="majorEastAsia" w:hAnsiTheme="majorHAnsi" w:cstheme="majorBidi"/>
                    <w:color w:val="775F55" w:themeColor="text2"/>
                    <w:sz w:val="120"/>
                    <w:szCs w:val="120"/>
                  </w:rPr>
                </w:pPr>
                <w:sdt>
                  <w:sdtPr>
                    <w:rPr>
                      <w:rFonts w:asciiTheme="majorHAnsi" w:eastAsiaTheme="majorEastAsia" w:hAnsiTheme="majorHAnsi" w:cstheme="majorBidi"/>
                      <w:caps/>
                      <w:color w:val="775F55" w:themeColor="text2"/>
                      <w:sz w:val="96"/>
                      <w:szCs w:val="110"/>
                    </w:rPr>
                    <w:alias w:val="Tittel"/>
                    <w:id w:val="541102321"/>
                    <w:placeholder>
                      <w:docPart w:val="E9FE8F7994A94D4A845DC814399D1368"/>
                    </w:placeholder>
                    <w:dataBinding w:prefixMappings="xmlns:ns0='http://schemas.openxmlformats.org/package/2006/metadata/core-properties' xmlns:ns1='http://purl.org/dc/elements/1.1/'" w:xpath="/ns0:coreProperties[1]/ns1:title[1]" w:storeItemID="{6C3C8BC8-F283-45AE-878A-BAB7291924A1}"/>
                    <w:text/>
                  </w:sdtPr>
                  <w:sdtEndPr/>
                  <w:sdtContent>
                    <w:r w:rsidR="00E97006" w:rsidRPr="00E97006">
                      <w:rPr>
                        <w:rFonts w:asciiTheme="majorHAnsi" w:eastAsiaTheme="majorEastAsia" w:hAnsiTheme="majorHAnsi" w:cstheme="majorBidi"/>
                        <w:caps/>
                        <w:color w:val="775F55" w:themeColor="text2"/>
                        <w:sz w:val="96"/>
                        <w:szCs w:val="110"/>
                      </w:rPr>
                      <w:t>Årsrapport 2015</w:t>
                    </w:r>
                  </w:sdtContent>
                </w:sdt>
              </w:p>
            </w:tc>
          </w:tr>
          <w:tr w:rsidR="00825F14" w:rsidTr="003D76A7">
            <w:trPr>
              <w:jc w:val="center"/>
            </w:trPr>
            <w:tc>
              <w:tcPr>
                <w:tcW w:w="0" w:type="auto"/>
                <w:tcBorders>
                  <w:top w:val="nil"/>
                  <w:left w:val="nil"/>
                  <w:bottom w:val="nil"/>
                  <w:right w:val="nil"/>
                </w:tcBorders>
                <w:shd w:val="clear" w:color="auto" w:fill="auto"/>
              </w:tcPr>
              <w:p w:rsidR="00825F14" w:rsidRDefault="00825F14">
                <w:pPr>
                  <w:pStyle w:val="Ingenmellomrom"/>
                  <w:rPr>
                    <w:color w:val="EBDDC3" w:themeColor="background2"/>
                  </w:rPr>
                </w:pPr>
              </w:p>
            </w:tc>
            <w:tc>
              <w:tcPr>
                <w:tcW w:w="0" w:type="auto"/>
                <w:tcBorders>
                  <w:top w:val="nil"/>
                  <w:left w:val="nil"/>
                  <w:bottom w:val="nil"/>
                  <w:right w:val="nil"/>
                </w:tcBorders>
                <w:shd w:val="clear" w:color="auto" w:fill="auto"/>
                <w:tcMar>
                  <w:left w:w="72" w:type="dxa"/>
                  <w:bottom w:w="216" w:type="dxa"/>
                  <w:right w:w="0" w:type="dxa"/>
                </w:tcMar>
                <w:vAlign w:val="bottom"/>
              </w:tcPr>
              <w:p w:rsidR="00825F14" w:rsidRDefault="00240FA5">
                <w:r>
                  <w:rPr>
                    <w:noProof/>
                  </w:rPr>
                  <w:drawing>
                    <wp:anchor distT="0" distB="0" distL="114300" distR="114300" simplePos="0" relativeHeight="251658240" behindDoc="0" locked="0" layoutInCell="1" allowOverlap="1">
                      <wp:simplePos x="0" y="0"/>
                      <wp:positionH relativeFrom="column">
                        <wp:align>center</wp:align>
                      </wp:positionH>
                      <wp:positionV relativeFrom="page">
                        <wp:posOffset>-1905</wp:posOffset>
                      </wp:positionV>
                      <wp:extent cx="2934000" cy="3636000"/>
                      <wp:effectExtent l="0" t="0" r="0" b="3175"/>
                      <wp:wrapTopAndBottom/>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629_Nofima.jpg"/>
                              <pic:cNvPicPr/>
                            </pic:nvPicPr>
                            <pic:blipFill>
                              <a:blip r:embed="rId10">
                                <a:extLst>
                                  <a:ext uri="{28A0092B-C50C-407E-A947-70E740481C1C}">
                                    <a14:useLocalDpi xmlns:a14="http://schemas.microsoft.com/office/drawing/2010/main" val="0"/>
                                  </a:ext>
                                </a:extLst>
                              </a:blip>
                              <a:stretch>
                                <a:fillRect/>
                              </a:stretch>
                            </pic:blipFill>
                            <pic:spPr>
                              <a:xfrm>
                                <a:off x="0" y="0"/>
                                <a:ext cx="2934000" cy="3636000"/>
                              </a:xfrm>
                              <a:prstGeom prst="rect">
                                <a:avLst/>
                              </a:prstGeom>
                            </pic:spPr>
                          </pic:pic>
                        </a:graphicData>
                      </a:graphic>
                      <wp14:sizeRelH relativeFrom="margin">
                        <wp14:pctWidth>0</wp14:pctWidth>
                      </wp14:sizeRelH>
                      <wp14:sizeRelV relativeFrom="margin">
                        <wp14:pctHeight>0</wp14:pctHeight>
                      </wp14:sizeRelV>
                    </wp:anchor>
                  </w:drawing>
                </w:r>
              </w:p>
            </w:tc>
          </w:tr>
          <w:tr w:rsidR="00825F14" w:rsidTr="003D76A7">
            <w:trPr>
              <w:trHeight w:val="864"/>
              <w:jc w:val="center"/>
            </w:trPr>
            <w:tc>
              <w:tcPr>
                <w:tcW w:w="0" w:type="auto"/>
                <w:tcBorders>
                  <w:top w:val="nil"/>
                  <w:left w:val="nil"/>
                  <w:bottom w:val="nil"/>
                </w:tcBorders>
                <w:shd w:val="clear" w:color="auto" w:fill="DD8047" w:themeFill="accent2"/>
                <w:vAlign w:val="center"/>
              </w:tcPr>
              <w:p w:rsidR="00825F14" w:rsidRDefault="00825F14" w:rsidP="003D76A7">
                <w:pPr>
                  <w:pStyle w:val="Ingenmellomrom"/>
                  <w:rPr>
                    <w:color w:val="FFFFFF" w:themeColor="background1"/>
                    <w:sz w:val="32"/>
                    <w:szCs w:val="32"/>
                  </w:rPr>
                </w:pPr>
              </w:p>
            </w:tc>
            <w:tc>
              <w:tcPr>
                <w:tcW w:w="0" w:type="auto"/>
                <w:tcBorders>
                  <w:top w:val="nil"/>
                  <w:bottom w:val="nil"/>
                  <w:right w:val="nil"/>
                </w:tcBorders>
                <w:shd w:val="clear" w:color="auto" w:fill="94B6D2" w:themeFill="accent1"/>
                <w:tcMar>
                  <w:left w:w="216" w:type="dxa"/>
                </w:tcMar>
                <w:vAlign w:val="center"/>
              </w:tcPr>
              <w:p w:rsidR="00825F14" w:rsidRDefault="00BF62E2" w:rsidP="00E97006">
                <w:pPr>
                  <w:pStyle w:val="Ingenmellomrom"/>
                  <w:rPr>
                    <w:color w:val="FFFFFF" w:themeColor="background1"/>
                    <w:sz w:val="40"/>
                    <w:szCs w:val="40"/>
                  </w:rPr>
                </w:pPr>
                <w:sdt>
                  <w:sdtPr>
                    <w:rPr>
                      <w:color w:val="FFFFFF" w:themeColor="background1"/>
                      <w:sz w:val="40"/>
                      <w:szCs w:val="40"/>
                    </w:rPr>
                    <w:alias w:val="Undertittel"/>
                    <w:id w:val="541102329"/>
                    <w:placeholder>
                      <w:docPart w:val="C291F3E71C18466098F3B6591F39E800"/>
                    </w:placeholder>
                    <w:dataBinding w:prefixMappings="xmlns:ns0='http://schemas.openxmlformats.org/package/2006/metadata/core-properties' xmlns:ns1='http://purl.org/dc/elements/1.1/'" w:xpath="/ns0:coreProperties[1]/ns1:subject[1]" w:storeItemID="{6C3C8BC8-F283-45AE-878A-BAB7291924A1}"/>
                    <w:text/>
                  </w:sdtPr>
                  <w:sdtEndPr/>
                  <w:sdtContent>
                    <w:r w:rsidR="00E97006">
                      <w:rPr>
                        <w:color w:val="FFFFFF" w:themeColor="background1"/>
                        <w:sz w:val="40"/>
                        <w:szCs w:val="40"/>
                      </w:rPr>
                      <w:t>Emballasjeforsk – forskningsnettverket for emballering</w:t>
                    </w:r>
                  </w:sdtContent>
                </w:sdt>
              </w:p>
            </w:tc>
          </w:tr>
          <w:tr w:rsidR="00825F14" w:rsidTr="003D76A7">
            <w:trPr>
              <w:jc w:val="center"/>
            </w:trPr>
            <w:tc>
              <w:tcPr>
                <w:tcW w:w="0" w:type="auto"/>
                <w:tcBorders>
                  <w:top w:val="nil"/>
                  <w:left w:val="nil"/>
                  <w:bottom w:val="nil"/>
                  <w:right w:val="nil"/>
                </w:tcBorders>
                <w:shd w:val="clear" w:color="auto" w:fill="auto"/>
                <w:vAlign w:val="center"/>
              </w:tcPr>
              <w:p w:rsidR="00825F14" w:rsidRDefault="00825F14">
                <w:pPr>
                  <w:pStyle w:val="Ingenmellomrom"/>
                  <w:rPr>
                    <w:color w:val="FFFFFF" w:themeColor="background1"/>
                    <w:sz w:val="36"/>
                    <w:szCs w:val="36"/>
                  </w:rPr>
                </w:pPr>
              </w:p>
            </w:tc>
            <w:tc>
              <w:tcPr>
                <w:tcW w:w="0" w:type="auto"/>
                <w:tcBorders>
                  <w:top w:val="nil"/>
                  <w:left w:val="nil"/>
                  <w:bottom w:val="nil"/>
                  <w:right w:val="nil"/>
                </w:tcBorders>
                <w:shd w:val="clear" w:color="auto" w:fill="auto"/>
                <w:tcMar>
                  <w:top w:w="432" w:type="dxa"/>
                  <w:left w:w="216" w:type="dxa"/>
                  <w:right w:w="432" w:type="dxa"/>
                </w:tcMar>
              </w:tcPr>
              <w:p w:rsidR="00825F14" w:rsidRDefault="00E97006">
                <w:pPr>
                  <w:pStyle w:val="Ingenmellomrom"/>
                  <w:spacing w:line="360" w:lineRule="auto"/>
                  <w:rPr>
                    <w:rFonts w:asciiTheme="majorHAnsi" w:eastAsiaTheme="majorEastAsia" w:hAnsiTheme="majorHAnsi" w:cstheme="majorBidi"/>
                    <w:sz w:val="26"/>
                    <w:szCs w:val="26"/>
                  </w:rPr>
                </w:pPr>
                <w:r>
                  <w:rPr>
                    <w:rFonts w:asciiTheme="majorHAnsi" w:eastAsiaTheme="majorEastAsia" w:hAnsiTheme="majorHAnsi" w:cstheme="majorBidi"/>
                    <w:sz w:val="26"/>
                    <w:szCs w:val="26"/>
                  </w:rPr>
                  <w:t xml:space="preserve">Rapporten gir etter styrets oppfatning, en rettmessig beskrivelse av virksomheten og aktivitetene </w:t>
                </w:r>
                <w:r w:rsidR="00650CB9">
                  <w:rPr>
                    <w:rFonts w:asciiTheme="majorHAnsi" w:eastAsiaTheme="majorEastAsia" w:hAnsiTheme="majorHAnsi" w:cstheme="majorBidi"/>
                    <w:sz w:val="26"/>
                    <w:szCs w:val="26"/>
                  </w:rPr>
                  <w:t>i 2015</w:t>
                </w:r>
                <w:r>
                  <w:rPr>
                    <w:rFonts w:asciiTheme="majorHAnsi" w:eastAsiaTheme="majorEastAsia" w:hAnsiTheme="majorHAnsi" w:cstheme="majorBidi"/>
                    <w:sz w:val="26"/>
                    <w:szCs w:val="26"/>
                  </w:rPr>
                  <w:t>.</w:t>
                </w:r>
                <w:r w:rsidR="00BA11CC">
                  <w:rPr>
                    <w:sz w:val="26"/>
                    <w:szCs w:val="26"/>
                  </w:rPr>
                  <w:t xml:space="preserve">  </w:t>
                </w:r>
              </w:p>
              <w:p w:rsidR="00825F14" w:rsidRDefault="00825F14">
                <w:pPr>
                  <w:pStyle w:val="Ingenmellomrom"/>
                  <w:rPr>
                    <w:rFonts w:asciiTheme="majorHAnsi" w:eastAsiaTheme="majorEastAsia" w:hAnsiTheme="majorHAnsi" w:cstheme="majorBidi"/>
                    <w:i/>
                    <w:iCs/>
                    <w:color w:val="775F55" w:themeColor="text2"/>
                    <w:sz w:val="26"/>
                    <w:szCs w:val="26"/>
                  </w:rPr>
                </w:pPr>
              </w:p>
            </w:tc>
          </w:tr>
        </w:tbl>
        <w:p w:rsidR="00E97006" w:rsidRDefault="00E97006">
          <w:pPr>
            <w:spacing w:after="200" w:line="276" w:lineRule="auto"/>
          </w:pPr>
        </w:p>
        <w:p w:rsidR="00E97006" w:rsidRDefault="00E97006">
          <w:pPr>
            <w:spacing w:after="200" w:line="276" w:lineRule="auto"/>
          </w:pPr>
        </w:p>
        <w:p w:rsidR="00E97006" w:rsidRDefault="00E97006" w:rsidP="00030A34">
          <w:pPr>
            <w:spacing w:after="200" w:line="276" w:lineRule="auto"/>
            <w:jc w:val="right"/>
          </w:pPr>
        </w:p>
        <w:p w:rsidR="00E97006" w:rsidRDefault="00030A34" w:rsidP="007459F8">
          <w:pPr>
            <w:spacing w:after="200" w:line="276" w:lineRule="auto"/>
            <w:jc w:val="right"/>
          </w:pPr>
          <w:r>
            <w:rPr>
              <w:noProof/>
            </w:rPr>
            <w:drawing>
              <wp:inline distT="0" distB="0" distL="0" distR="0" wp14:anchorId="7B5EF701" wp14:editId="0536D61B">
                <wp:extent cx="2508898" cy="828000"/>
                <wp:effectExtent l="0" t="0" r="571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llasjeforsk_logo_v2 flere farger_Side_1.jpg"/>
                        <pic:cNvPicPr/>
                      </pic:nvPicPr>
                      <pic:blipFill rotWithShape="1">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l="14177" t="30193" r="16987" b="37681"/>
                        <a:stretch/>
                      </pic:blipFill>
                      <pic:spPr bwMode="auto">
                        <a:xfrm>
                          <a:off x="0" y="0"/>
                          <a:ext cx="2508898" cy="828000"/>
                        </a:xfrm>
                        <a:prstGeom prst="rect">
                          <a:avLst/>
                        </a:prstGeom>
                        <a:ln>
                          <a:noFill/>
                        </a:ln>
                        <a:extLst>
                          <a:ext uri="{53640926-AAD7-44D8-BBD7-CCE9431645EC}">
                            <a14:shadowObscured xmlns:a14="http://schemas.microsoft.com/office/drawing/2010/main"/>
                          </a:ext>
                        </a:extLst>
                      </pic:spPr>
                    </pic:pic>
                  </a:graphicData>
                </a:graphic>
              </wp:inline>
            </w:drawing>
          </w:r>
        </w:p>
        <w:p w:rsidR="00825F14" w:rsidRDefault="00BF62E2">
          <w:pPr>
            <w:spacing w:after="200" w:line="276" w:lineRule="auto"/>
          </w:pPr>
        </w:p>
      </w:sdtContent>
    </w:sdt>
    <w:p w:rsidR="00825F14" w:rsidRDefault="00BF62E2">
      <w:pPr>
        <w:pStyle w:val="Tittel"/>
      </w:pPr>
      <w:sdt>
        <w:sdtPr>
          <w:alias w:val="Tittel"/>
          <w:id w:val="-1055697181"/>
          <w:placeholder>
            <w:docPart w:val="94B62B6A298A4F32AD6F5F3481984A32"/>
          </w:placeholder>
          <w:dataBinding w:prefixMappings="xmlns:ns0='http://schemas.openxmlformats.org/package/2006/metadata/core-properties' xmlns:ns1='http://purl.org/dc/elements/1.1/'" w:xpath="/ns0:coreProperties[1]/ns1:title[1]" w:storeItemID="{6C3C8BC8-F283-45AE-878A-BAB7291924A1}"/>
          <w:text/>
        </w:sdtPr>
        <w:sdtEndPr/>
        <w:sdtContent>
          <w:r w:rsidR="00E97006">
            <w:t>Årsrapport 2015</w:t>
          </w:r>
        </w:sdtContent>
      </w:sdt>
    </w:p>
    <w:p w:rsidR="00825F14" w:rsidRDefault="00825F14">
      <w:pPr>
        <w:pStyle w:val="Tittel"/>
        <w:rPr>
          <w:rFonts w:asciiTheme="majorHAnsi" w:eastAsiaTheme="majorEastAsia" w:hAnsiTheme="majorHAnsi" w:cstheme="majorBidi"/>
          <w:b/>
          <w:bCs/>
          <w:caps/>
          <w:color w:val="DD8047" w:themeColor="accent2"/>
          <w:spacing w:val="50"/>
          <w:sz w:val="24"/>
          <w:szCs w:val="24"/>
        </w:rPr>
      </w:pPr>
    </w:p>
    <w:sdt>
      <w:sdtPr>
        <w:id w:val="219697527"/>
        <w:dataBinding w:prefixMappings="xmlns:ns0='http://schemas.openxmlformats.org/package/2006/metadata/core-properties' xmlns:ns1='http://purl.org/dc/elements/1.1/'" w:xpath="/ns0:coreProperties[1]/ns1:subject[1]" w:storeItemID="{6C3C8BC8-F283-45AE-878A-BAB7291924A1}"/>
        <w:text/>
      </w:sdtPr>
      <w:sdtEndPr/>
      <w:sdtContent>
        <w:p w:rsidR="00825F14" w:rsidRDefault="00E97006">
          <w:pPr>
            <w:pStyle w:val="Undertittel"/>
          </w:pPr>
          <w:r>
            <w:t>Emballasjeforsk – forskningsnettverket for emballering</w:t>
          </w:r>
        </w:p>
      </w:sdtContent>
    </w:sdt>
    <w:p w:rsidR="00825F14" w:rsidRDefault="00030A34" w:rsidP="00541636">
      <w:pPr>
        <w:pStyle w:val="Overskrift1"/>
        <w:spacing w:line="360" w:lineRule="auto"/>
      </w:pPr>
      <w:r>
        <w:lastRenderedPageBreak/>
        <w:t>Innledning</w:t>
      </w:r>
    </w:p>
    <w:p w:rsidR="00850F06" w:rsidRPr="003B102B" w:rsidRDefault="00030A34" w:rsidP="00541636">
      <w:pPr>
        <w:spacing w:line="360" w:lineRule="auto"/>
        <w:rPr>
          <w:sz w:val="24"/>
          <w:szCs w:val="24"/>
        </w:rPr>
      </w:pPr>
      <w:r w:rsidRPr="003B102B">
        <w:rPr>
          <w:sz w:val="24"/>
          <w:szCs w:val="24"/>
        </w:rPr>
        <w:t xml:space="preserve">I løpet av året har styret i Emballasjeforsk utarbeidet ny strategi </w:t>
      </w:r>
      <w:r w:rsidR="003B102B" w:rsidRPr="003B102B">
        <w:rPr>
          <w:sz w:val="24"/>
          <w:szCs w:val="24"/>
        </w:rPr>
        <w:t>hvor</w:t>
      </w:r>
      <w:r w:rsidRPr="003B102B">
        <w:rPr>
          <w:sz w:val="24"/>
          <w:szCs w:val="24"/>
        </w:rPr>
        <w:t xml:space="preserve"> formål og mål</w:t>
      </w:r>
      <w:r w:rsidR="003B102B" w:rsidRPr="003B102B">
        <w:rPr>
          <w:sz w:val="24"/>
          <w:szCs w:val="24"/>
        </w:rPr>
        <w:t xml:space="preserve"> er justert</w:t>
      </w:r>
      <w:r w:rsidRPr="003B102B">
        <w:rPr>
          <w:sz w:val="24"/>
          <w:szCs w:val="24"/>
        </w:rPr>
        <w:t xml:space="preserve">. Bakgrunnen er endringer i samfunnet og politiske føringer fra EU </w:t>
      </w:r>
      <w:r w:rsidR="00850F06" w:rsidRPr="003B102B">
        <w:rPr>
          <w:sz w:val="24"/>
          <w:szCs w:val="24"/>
        </w:rPr>
        <w:t xml:space="preserve">om </w:t>
      </w:r>
      <w:r w:rsidR="00C23AF4" w:rsidRPr="003B102B">
        <w:rPr>
          <w:sz w:val="24"/>
          <w:szCs w:val="24"/>
        </w:rPr>
        <w:t xml:space="preserve">økt fokus på bærekraftig utvikling. Arbeidet for en sirkulær økonomi </w:t>
      </w:r>
      <w:r w:rsidR="003254D7" w:rsidRPr="003B102B">
        <w:rPr>
          <w:sz w:val="24"/>
          <w:szCs w:val="24"/>
        </w:rPr>
        <w:t>innebærer også endringer for aktørene</w:t>
      </w:r>
      <w:r w:rsidR="00C23AF4" w:rsidRPr="003B102B">
        <w:rPr>
          <w:sz w:val="24"/>
          <w:szCs w:val="24"/>
        </w:rPr>
        <w:t xml:space="preserve"> i emballasjens verdikjede</w:t>
      </w:r>
      <w:r w:rsidR="003254D7" w:rsidRPr="003B102B">
        <w:rPr>
          <w:sz w:val="24"/>
          <w:szCs w:val="24"/>
        </w:rPr>
        <w:t xml:space="preserve">. Virksomhetenes innsats på forskning og utvikling </w:t>
      </w:r>
      <w:r w:rsidR="00850F06" w:rsidRPr="003B102B">
        <w:rPr>
          <w:sz w:val="24"/>
          <w:szCs w:val="24"/>
        </w:rPr>
        <w:t xml:space="preserve">innenfor </w:t>
      </w:r>
      <w:r w:rsidR="003B102B" w:rsidRPr="003B102B">
        <w:rPr>
          <w:sz w:val="24"/>
          <w:szCs w:val="24"/>
        </w:rPr>
        <w:t>ovennevnte tematikk</w:t>
      </w:r>
      <w:r w:rsidR="00850F06" w:rsidRPr="003B102B">
        <w:rPr>
          <w:sz w:val="24"/>
          <w:szCs w:val="24"/>
        </w:rPr>
        <w:t xml:space="preserve"> </w:t>
      </w:r>
      <w:r w:rsidR="003254D7" w:rsidRPr="003B102B">
        <w:rPr>
          <w:sz w:val="24"/>
          <w:szCs w:val="24"/>
        </w:rPr>
        <w:t xml:space="preserve">vil være </w:t>
      </w:r>
      <w:r w:rsidR="00850F06" w:rsidRPr="003B102B">
        <w:rPr>
          <w:sz w:val="24"/>
          <w:szCs w:val="24"/>
        </w:rPr>
        <w:t xml:space="preserve">et </w:t>
      </w:r>
      <w:r w:rsidR="003254D7" w:rsidRPr="003B102B">
        <w:rPr>
          <w:sz w:val="24"/>
          <w:szCs w:val="24"/>
        </w:rPr>
        <w:t xml:space="preserve">viktig </w:t>
      </w:r>
      <w:r w:rsidR="00850F06" w:rsidRPr="003B102B">
        <w:rPr>
          <w:sz w:val="24"/>
          <w:szCs w:val="24"/>
        </w:rPr>
        <w:t xml:space="preserve">bidrag </w:t>
      </w:r>
      <w:r w:rsidR="003254D7" w:rsidRPr="003B102B">
        <w:rPr>
          <w:sz w:val="24"/>
          <w:szCs w:val="24"/>
        </w:rPr>
        <w:t xml:space="preserve">for økt verdiskaping og </w:t>
      </w:r>
      <w:r w:rsidR="00850F06" w:rsidRPr="003B102B">
        <w:rPr>
          <w:sz w:val="24"/>
          <w:szCs w:val="24"/>
        </w:rPr>
        <w:t>styrket konkurranseevne i årene fremover.</w:t>
      </w:r>
    </w:p>
    <w:p w:rsidR="00850F06" w:rsidRPr="00541636" w:rsidRDefault="007459F8" w:rsidP="00541636">
      <w:pPr>
        <w:spacing w:line="360" w:lineRule="auto"/>
        <w:rPr>
          <w:sz w:val="24"/>
          <w:szCs w:val="24"/>
        </w:rPr>
      </w:pPr>
      <w:r>
        <w:rPr>
          <w:sz w:val="24"/>
          <w:szCs w:val="24"/>
        </w:rPr>
        <w:t xml:space="preserve">Det har </w:t>
      </w:r>
      <w:r w:rsidR="00850F06" w:rsidRPr="003B102B">
        <w:rPr>
          <w:sz w:val="24"/>
          <w:szCs w:val="24"/>
        </w:rPr>
        <w:t>vært avholdt fire styremøter og protokollført 21 saker</w:t>
      </w:r>
      <w:r>
        <w:rPr>
          <w:sz w:val="24"/>
          <w:szCs w:val="24"/>
        </w:rPr>
        <w:t xml:space="preserve"> i løpet av året</w:t>
      </w:r>
      <w:r w:rsidR="00850F06" w:rsidRPr="003B102B">
        <w:rPr>
          <w:sz w:val="24"/>
          <w:szCs w:val="24"/>
        </w:rPr>
        <w:t xml:space="preserve">. </w:t>
      </w:r>
    </w:p>
    <w:p w:rsidR="00850F06" w:rsidRDefault="00850F06" w:rsidP="00541636">
      <w:pPr>
        <w:pStyle w:val="Overskrift1"/>
        <w:spacing w:line="360" w:lineRule="auto"/>
      </w:pPr>
      <w:r>
        <w:t>Styret i Emballasjeforsk</w:t>
      </w:r>
    </w:p>
    <w:p w:rsidR="00030A34" w:rsidRPr="00AE273B" w:rsidRDefault="003B102B" w:rsidP="00541636">
      <w:pPr>
        <w:spacing w:line="360" w:lineRule="auto"/>
        <w:rPr>
          <w:sz w:val="24"/>
          <w:szCs w:val="24"/>
        </w:rPr>
      </w:pPr>
      <w:r w:rsidRPr="00AE273B">
        <w:rPr>
          <w:sz w:val="24"/>
          <w:szCs w:val="24"/>
        </w:rPr>
        <w:t>Styrets sammensetning siden årsmøte 28. mai 2015 har vært:</w:t>
      </w:r>
    </w:p>
    <w:p w:rsidR="006322D9" w:rsidRPr="00AE273B" w:rsidRDefault="003B102B" w:rsidP="00207300">
      <w:pPr>
        <w:spacing w:line="360" w:lineRule="auto"/>
        <w:rPr>
          <w:sz w:val="24"/>
          <w:szCs w:val="24"/>
        </w:rPr>
      </w:pPr>
      <w:r w:rsidRPr="00AE273B">
        <w:rPr>
          <w:sz w:val="24"/>
          <w:szCs w:val="24"/>
        </w:rPr>
        <w:t>Styrets leder:</w:t>
      </w:r>
      <w:r w:rsidRPr="00AE273B">
        <w:rPr>
          <w:sz w:val="24"/>
          <w:szCs w:val="24"/>
        </w:rPr>
        <w:tab/>
      </w:r>
      <w:r w:rsidRPr="00AE273B">
        <w:rPr>
          <w:sz w:val="24"/>
          <w:szCs w:val="24"/>
        </w:rPr>
        <w:tab/>
      </w:r>
      <w:r w:rsidRPr="00AE273B">
        <w:rPr>
          <w:sz w:val="24"/>
          <w:szCs w:val="24"/>
        </w:rPr>
        <w:tab/>
        <w:t>Helga Næs, Nofima</w:t>
      </w:r>
      <w:r w:rsidRPr="00AE273B">
        <w:rPr>
          <w:sz w:val="24"/>
          <w:szCs w:val="24"/>
        </w:rPr>
        <w:br/>
        <w:t>Styrets nestleder:</w:t>
      </w:r>
      <w:r w:rsidRPr="00AE273B">
        <w:rPr>
          <w:sz w:val="24"/>
          <w:szCs w:val="24"/>
        </w:rPr>
        <w:tab/>
      </w:r>
      <w:r w:rsidRPr="00AE273B">
        <w:rPr>
          <w:sz w:val="24"/>
          <w:szCs w:val="24"/>
        </w:rPr>
        <w:tab/>
        <w:t>Marit Sverdrup, Mills</w:t>
      </w:r>
      <w:r w:rsidRPr="00AE273B">
        <w:rPr>
          <w:sz w:val="24"/>
          <w:szCs w:val="24"/>
        </w:rPr>
        <w:br/>
        <w:t>Styremedlem:</w:t>
      </w:r>
      <w:r w:rsidRPr="00AE273B">
        <w:rPr>
          <w:sz w:val="24"/>
          <w:szCs w:val="24"/>
        </w:rPr>
        <w:tab/>
      </w:r>
      <w:r w:rsidRPr="00AE273B">
        <w:rPr>
          <w:sz w:val="24"/>
          <w:szCs w:val="24"/>
        </w:rPr>
        <w:tab/>
      </w:r>
      <w:r w:rsidRPr="00AE273B">
        <w:rPr>
          <w:sz w:val="24"/>
          <w:szCs w:val="24"/>
        </w:rPr>
        <w:tab/>
        <w:t>Alf Harald Jørgensen, Tommen Gram</w:t>
      </w:r>
      <w:r w:rsidRPr="00AE273B">
        <w:rPr>
          <w:sz w:val="24"/>
          <w:szCs w:val="24"/>
        </w:rPr>
        <w:br/>
        <w:t>Styremedlem:</w:t>
      </w:r>
      <w:r w:rsidRPr="00AE273B">
        <w:rPr>
          <w:sz w:val="24"/>
          <w:szCs w:val="24"/>
        </w:rPr>
        <w:tab/>
      </w:r>
      <w:r w:rsidRPr="00AE273B">
        <w:rPr>
          <w:sz w:val="24"/>
          <w:szCs w:val="24"/>
        </w:rPr>
        <w:tab/>
      </w:r>
      <w:r w:rsidRPr="00AE273B">
        <w:rPr>
          <w:sz w:val="24"/>
          <w:szCs w:val="24"/>
        </w:rPr>
        <w:tab/>
        <w:t>Johanne Brendehaug, TINE</w:t>
      </w:r>
      <w:r w:rsidRPr="00AE273B">
        <w:rPr>
          <w:sz w:val="24"/>
          <w:szCs w:val="24"/>
        </w:rPr>
        <w:br/>
        <w:t>Styremedlem:</w:t>
      </w:r>
      <w:r w:rsidRPr="00AE273B">
        <w:rPr>
          <w:sz w:val="24"/>
          <w:szCs w:val="24"/>
        </w:rPr>
        <w:tab/>
      </w:r>
      <w:r w:rsidRPr="00AE273B">
        <w:rPr>
          <w:sz w:val="24"/>
          <w:szCs w:val="24"/>
        </w:rPr>
        <w:tab/>
      </w:r>
      <w:r w:rsidRPr="00AE273B">
        <w:rPr>
          <w:sz w:val="24"/>
          <w:szCs w:val="24"/>
        </w:rPr>
        <w:tab/>
        <w:t>Ole-Petter Trovaag, Elopak</w:t>
      </w:r>
      <w:r w:rsidRPr="00AE273B">
        <w:rPr>
          <w:sz w:val="24"/>
          <w:szCs w:val="24"/>
        </w:rPr>
        <w:br/>
        <w:t>Styremedlem:</w:t>
      </w:r>
      <w:r w:rsidRPr="00AE273B">
        <w:rPr>
          <w:sz w:val="24"/>
          <w:szCs w:val="24"/>
        </w:rPr>
        <w:tab/>
      </w:r>
      <w:r w:rsidRPr="00AE273B">
        <w:rPr>
          <w:sz w:val="24"/>
          <w:szCs w:val="24"/>
        </w:rPr>
        <w:tab/>
      </w:r>
      <w:r w:rsidRPr="00AE273B">
        <w:rPr>
          <w:sz w:val="24"/>
          <w:szCs w:val="24"/>
        </w:rPr>
        <w:tab/>
        <w:t>Tom Egil Klausen, Bama Gruppen</w:t>
      </w:r>
      <w:r w:rsidRPr="00AE273B">
        <w:rPr>
          <w:sz w:val="24"/>
          <w:szCs w:val="24"/>
        </w:rPr>
        <w:br/>
        <w:t>Styremedlem:</w:t>
      </w:r>
      <w:r w:rsidRPr="00AE273B">
        <w:rPr>
          <w:sz w:val="24"/>
          <w:szCs w:val="24"/>
        </w:rPr>
        <w:tab/>
      </w:r>
      <w:r w:rsidRPr="00AE273B">
        <w:rPr>
          <w:sz w:val="24"/>
          <w:szCs w:val="24"/>
        </w:rPr>
        <w:tab/>
      </w:r>
      <w:r w:rsidRPr="00AE273B">
        <w:rPr>
          <w:sz w:val="24"/>
          <w:szCs w:val="24"/>
        </w:rPr>
        <w:tab/>
        <w:t>Ole Jan Myhre, Norner</w:t>
      </w:r>
      <w:r w:rsidRPr="00AE273B">
        <w:rPr>
          <w:sz w:val="24"/>
          <w:szCs w:val="24"/>
        </w:rPr>
        <w:br/>
      </w:r>
      <w:r w:rsidRPr="00AE273B">
        <w:rPr>
          <w:sz w:val="24"/>
          <w:szCs w:val="24"/>
        </w:rPr>
        <w:lastRenderedPageBreak/>
        <w:t>Styremedlem:</w:t>
      </w:r>
      <w:r w:rsidRPr="00AE273B">
        <w:rPr>
          <w:sz w:val="24"/>
          <w:szCs w:val="24"/>
        </w:rPr>
        <w:tab/>
      </w:r>
      <w:r w:rsidRPr="00AE273B">
        <w:rPr>
          <w:sz w:val="24"/>
          <w:szCs w:val="24"/>
        </w:rPr>
        <w:tab/>
      </w:r>
      <w:r w:rsidRPr="00AE273B">
        <w:rPr>
          <w:sz w:val="24"/>
          <w:szCs w:val="24"/>
        </w:rPr>
        <w:tab/>
        <w:t>Philip Reme, Papir- og fiberinstituttet</w:t>
      </w:r>
      <w:r w:rsidRPr="00AE273B">
        <w:rPr>
          <w:sz w:val="24"/>
          <w:szCs w:val="24"/>
        </w:rPr>
        <w:br/>
        <w:t>Styremedlem:</w:t>
      </w:r>
      <w:r w:rsidRPr="00AE273B">
        <w:rPr>
          <w:sz w:val="24"/>
          <w:szCs w:val="24"/>
        </w:rPr>
        <w:tab/>
      </w:r>
      <w:r w:rsidRPr="00AE273B">
        <w:rPr>
          <w:sz w:val="24"/>
          <w:szCs w:val="24"/>
        </w:rPr>
        <w:tab/>
      </w:r>
      <w:r w:rsidRPr="00AE273B">
        <w:rPr>
          <w:sz w:val="24"/>
          <w:szCs w:val="24"/>
        </w:rPr>
        <w:tab/>
        <w:t>Jens Olav Flekke, Dagligvarehandelens Miljøforum</w:t>
      </w:r>
      <w:r w:rsidR="00BA11CC" w:rsidRPr="00AE273B">
        <w:rPr>
          <w:sz w:val="24"/>
          <w:szCs w:val="24"/>
        </w:rPr>
        <w:br/>
        <w:t>Styremedlem:</w:t>
      </w:r>
      <w:r w:rsidR="00BA11CC" w:rsidRPr="00AE273B">
        <w:rPr>
          <w:sz w:val="24"/>
          <w:szCs w:val="24"/>
        </w:rPr>
        <w:tab/>
      </w:r>
      <w:r w:rsidR="00BA11CC" w:rsidRPr="00AE273B">
        <w:rPr>
          <w:sz w:val="24"/>
          <w:szCs w:val="24"/>
        </w:rPr>
        <w:tab/>
      </w:r>
      <w:r w:rsidR="00BA11CC" w:rsidRPr="00AE273B">
        <w:rPr>
          <w:sz w:val="24"/>
          <w:szCs w:val="24"/>
        </w:rPr>
        <w:tab/>
        <w:t>Martin Wiklund, Peterson Packaging</w:t>
      </w:r>
      <w:r w:rsidR="006322D9">
        <w:rPr>
          <w:sz w:val="24"/>
          <w:szCs w:val="24"/>
        </w:rPr>
        <w:br/>
      </w:r>
      <w:r w:rsidR="006322D9">
        <w:rPr>
          <w:sz w:val="24"/>
          <w:szCs w:val="24"/>
        </w:rPr>
        <w:br/>
      </w:r>
      <w:r w:rsidR="00BA11CC" w:rsidRPr="00AE273B">
        <w:rPr>
          <w:sz w:val="24"/>
          <w:szCs w:val="24"/>
        </w:rPr>
        <w:t>Styret i Emballasjeforeningen fungerer som valgkomite for Emballasjeforsk og innstiller på valg av styrets medlemmer, styrets leder og nestleder overfor årsmøtet.</w:t>
      </w:r>
    </w:p>
    <w:p w:rsidR="003B102B" w:rsidRDefault="00CC6A45" w:rsidP="00541636">
      <w:pPr>
        <w:pStyle w:val="Overskrift1"/>
        <w:spacing w:line="360" w:lineRule="auto"/>
      </w:pPr>
      <w:r>
        <w:t>aktiviteter</w:t>
      </w:r>
      <w:r w:rsidR="00BA11CC">
        <w:t xml:space="preserve"> </w:t>
      </w:r>
    </w:p>
    <w:p w:rsidR="003B102B" w:rsidRPr="00D91A30" w:rsidRDefault="00BA11CC" w:rsidP="00541636">
      <w:pPr>
        <w:spacing w:line="360" w:lineRule="auto"/>
        <w:rPr>
          <w:sz w:val="24"/>
          <w:szCs w:val="24"/>
        </w:rPr>
      </w:pPr>
      <w:r w:rsidRPr="00D91A30">
        <w:rPr>
          <w:sz w:val="24"/>
          <w:szCs w:val="24"/>
        </w:rPr>
        <w:t>I løpet av året er det avholdt fire styremøter, i tillegg til årsmøtet. I forbindelse med strategiprosessen og arbeidet med prosjektskisse til Arenaprogrammet er det avholdt flere møter i sekretariatet hvor både styrets leder og nestleder har deltatt.</w:t>
      </w:r>
    </w:p>
    <w:p w:rsidR="00BA11CC" w:rsidRPr="00D91A30" w:rsidRDefault="00BA11CC" w:rsidP="00207300">
      <w:pPr>
        <w:spacing w:line="360" w:lineRule="auto"/>
        <w:rPr>
          <w:sz w:val="24"/>
          <w:szCs w:val="24"/>
        </w:rPr>
      </w:pPr>
      <w:r w:rsidRPr="00D91A30">
        <w:rPr>
          <w:sz w:val="24"/>
          <w:szCs w:val="24"/>
        </w:rPr>
        <w:t>Den 28. januar inviterte Emballasjeforsk i samarbeid med Emballasjeforeningen til et felles nettverksmøte for å diskutere utfordringer knyttet til emballering og definere eventuelle nye forskningsbehov. Cirka 20 personer deltok på møtet.</w:t>
      </w:r>
    </w:p>
    <w:p w:rsidR="00BA11CC" w:rsidRPr="00D91A30" w:rsidRDefault="002C1ADB" w:rsidP="00207300">
      <w:pPr>
        <w:spacing w:line="360" w:lineRule="auto"/>
        <w:rPr>
          <w:sz w:val="24"/>
          <w:szCs w:val="24"/>
        </w:rPr>
      </w:pPr>
      <w:r w:rsidRPr="00D91A30">
        <w:rPr>
          <w:sz w:val="24"/>
          <w:szCs w:val="24"/>
        </w:rPr>
        <w:lastRenderedPageBreak/>
        <w:t>Emballasjeforsk ble også i år invitert til å komme med skriftlig innspill til Fondet for forskningsavgift på landbruksprodukter. Innspill ble sendt for å påvirke årets utlysning av forskningsmidler i næringen.</w:t>
      </w:r>
    </w:p>
    <w:p w:rsidR="002C1ADB" w:rsidRPr="00D91A30" w:rsidRDefault="002C1ADB" w:rsidP="00207300">
      <w:pPr>
        <w:spacing w:line="360" w:lineRule="auto"/>
        <w:rPr>
          <w:sz w:val="24"/>
          <w:szCs w:val="24"/>
        </w:rPr>
      </w:pPr>
      <w:r w:rsidRPr="00D91A30">
        <w:rPr>
          <w:sz w:val="24"/>
          <w:szCs w:val="24"/>
        </w:rPr>
        <w:t>Årsmøtet ble avholdt hos Elopak på Spikkestad den 28. mai. I forkant av årsmøtet var det invitert til fagseminar med fokus på sjømat og formidling av forskningsresultater. I tillegg fikk deltakerne en omvisning hos Elopak, hvor flere avdelinger ble presentert og maskinutstyr ble fremvist</w:t>
      </w:r>
      <w:r w:rsidR="00777F17" w:rsidRPr="00D91A30">
        <w:rPr>
          <w:sz w:val="24"/>
          <w:szCs w:val="24"/>
        </w:rPr>
        <w:t>. Cirka 35 personer deltok og styret takker Elopak som vertskap for arrangementet.</w:t>
      </w:r>
    </w:p>
    <w:p w:rsidR="00A843C6" w:rsidRPr="00D91A30" w:rsidRDefault="00A843C6" w:rsidP="00207300">
      <w:pPr>
        <w:spacing w:line="360" w:lineRule="auto"/>
        <w:rPr>
          <w:sz w:val="24"/>
          <w:szCs w:val="24"/>
        </w:rPr>
      </w:pPr>
      <w:r w:rsidRPr="00D91A30">
        <w:rPr>
          <w:sz w:val="24"/>
          <w:szCs w:val="24"/>
        </w:rPr>
        <w:t xml:space="preserve">Prosjektporteføljen for forskning på emballering viser en positiv utvikling og er i vekst. Diagrammene som er i denne rapporten viser årlig utvikling fra 2007 og frem til i dag. </w:t>
      </w:r>
    </w:p>
    <w:p w:rsidR="00A843C6" w:rsidRPr="00D91A30" w:rsidRDefault="00A843C6" w:rsidP="00207300">
      <w:pPr>
        <w:spacing w:line="360" w:lineRule="auto"/>
        <w:rPr>
          <w:sz w:val="24"/>
          <w:szCs w:val="24"/>
        </w:rPr>
      </w:pPr>
      <w:r w:rsidRPr="00D91A30">
        <w:rPr>
          <w:sz w:val="24"/>
          <w:szCs w:val="24"/>
        </w:rPr>
        <w:t>Styrets medlemmer deltar aktivt på flere av Emballasjeforeningens arrangementer, deriblant Emballasjedagene. I tilknytning til Emballasjedagene og i forbindelse med strategiarbeidet i Emballasjeforsk ble det gjennomført et strategimøte hvor styrene i begge nettverkene deltok. Det kom inn flere innspill som siden har blitt innlemmet i strategidokumentet.</w:t>
      </w:r>
    </w:p>
    <w:p w:rsidR="00032502" w:rsidRPr="00D91A30" w:rsidRDefault="00032502" w:rsidP="00207300">
      <w:pPr>
        <w:spacing w:line="360" w:lineRule="auto"/>
        <w:rPr>
          <w:sz w:val="24"/>
          <w:szCs w:val="24"/>
        </w:rPr>
      </w:pPr>
      <w:r w:rsidRPr="00D91A30">
        <w:rPr>
          <w:sz w:val="24"/>
          <w:szCs w:val="24"/>
        </w:rPr>
        <w:lastRenderedPageBreak/>
        <w:t xml:space="preserve">Styret var representert på SPIN*-konferansen som ble arrangert 1. desember hos TINE på Kalbakken i Oslo. I etterkant av dette seminaret er det sendt inn søknad om å etablere et Nordic Center of Excellence hvor emballasje inngår som en </w:t>
      </w:r>
      <w:r w:rsidR="00B50361" w:rsidRPr="00D91A30">
        <w:rPr>
          <w:sz w:val="24"/>
          <w:szCs w:val="24"/>
        </w:rPr>
        <w:t xml:space="preserve">liten </w:t>
      </w:r>
      <w:r w:rsidRPr="00D91A30">
        <w:rPr>
          <w:sz w:val="24"/>
          <w:szCs w:val="24"/>
        </w:rPr>
        <w:t>del</w:t>
      </w:r>
      <w:r w:rsidR="00B50361" w:rsidRPr="00D91A30">
        <w:rPr>
          <w:sz w:val="24"/>
          <w:szCs w:val="24"/>
        </w:rPr>
        <w:t xml:space="preserve"> av dette</w:t>
      </w:r>
      <w:r w:rsidRPr="00D91A30">
        <w:rPr>
          <w:sz w:val="24"/>
          <w:szCs w:val="24"/>
        </w:rPr>
        <w:t>.</w:t>
      </w:r>
    </w:p>
    <w:p w:rsidR="00D91A30" w:rsidRPr="00207300" w:rsidRDefault="00A843C6" w:rsidP="00207300">
      <w:pPr>
        <w:spacing w:line="360" w:lineRule="auto"/>
        <w:rPr>
          <w:sz w:val="24"/>
          <w:szCs w:val="24"/>
        </w:rPr>
      </w:pPr>
      <w:r w:rsidRPr="00D91A30">
        <w:rPr>
          <w:sz w:val="24"/>
          <w:szCs w:val="24"/>
        </w:rPr>
        <w:t>FoU-miljøene tilsluttet Emballasjeforsk har jevnlig dialog med ulike finansieringsaktører og følger med på aktuelle utlysninger</w:t>
      </w:r>
      <w:r w:rsidR="00032502" w:rsidRPr="00D91A30">
        <w:rPr>
          <w:sz w:val="24"/>
          <w:szCs w:val="24"/>
        </w:rPr>
        <w:t xml:space="preserve"> for å g</w:t>
      </w:r>
      <w:r w:rsidR="00CC6A45" w:rsidRPr="00D91A30">
        <w:rPr>
          <w:sz w:val="24"/>
          <w:szCs w:val="24"/>
        </w:rPr>
        <w:t>i innspill til styret</w:t>
      </w:r>
      <w:r w:rsidR="00D91A30" w:rsidRPr="00D91A30">
        <w:rPr>
          <w:sz w:val="24"/>
          <w:szCs w:val="24"/>
        </w:rPr>
        <w:t>.</w:t>
      </w:r>
    </w:p>
    <w:p w:rsidR="006322D9" w:rsidRPr="0050343F" w:rsidRDefault="006322D9" w:rsidP="0050343F">
      <w:pPr>
        <w:pStyle w:val="Default"/>
        <w:spacing w:line="360" w:lineRule="auto"/>
        <w:rPr>
          <w:rFonts w:asciiTheme="minorHAnsi" w:hAnsiTheme="minorHAnsi"/>
          <w:lang w:eastAsia="nb-NO"/>
          <w14:ligatures w14:val="standardContextual"/>
        </w:rPr>
      </w:pPr>
      <w:r w:rsidRPr="0050343F">
        <w:rPr>
          <w:rFonts w:asciiTheme="minorHAnsi" w:hAnsiTheme="minorHAnsi"/>
        </w:rPr>
        <w:t>I dialog med medlemmene ble det besluttet å sende inn en prosjektskisse til Arenaprogrammet i Innovasjon Norge med frist 1.kvartal 2016.</w:t>
      </w:r>
      <w:r w:rsidRPr="0050343F">
        <w:rPr>
          <w:rFonts w:asciiTheme="minorHAnsi" w:hAnsiTheme="minorHAnsi"/>
        </w:rPr>
        <w:t xml:space="preserve"> </w:t>
      </w:r>
      <w:r w:rsidRPr="0050343F">
        <w:rPr>
          <w:rFonts w:asciiTheme="minorHAnsi" w:hAnsiTheme="minorHAnsi"/>
          <w:lang w:eastAsia="nb-NO"/>
          <w14:ligatures w14:val="standardContextual"/>
        </w:rPr>
        <w:t xml:space="preserve">Arena-programmet har som formål å stimulere utviklingen i næringsklynger basert på samarbeid mellom næringsaktører, kunnskapsmiljøer og det offentlige. Programmet tilbyr finansiell og faglig støtte til 3-årige utviklingsprosesser. </w:t>
      </w:r>
    </w:p>
    <w:p w:rsidR="00032502" w:rsidRPr="00BF62E2" w:rsidRDefault="006322D9" w:rsidP="00BF62E2">
      <w:pPr>
        <w:spacing w:line="360" w:lineRule="auto"/>
        <w:rPr>
          <w:rFonts w:cs="Calibri"/>
          <w:color w:val="000000"/>
          <w:kern w:val="0"/>
          <w:sz w:val="24"/>
          <w:szCs w:val="24"/>
        </w:rPr>
      </w:pPr>
      <w:r w:rsidRPr="0050343F">
        <w:rPr>
          <w:rFonts w:cs="Calibri"/>
          <w:color w:val="000000"/>
          <w:kern w:val="0"/>
          <w:sz w:val="24"/>
          <w:szCs w:val="24"/>
        </w:rPr>
        <w:t xml:space="preserve">Programmet eies av Innovasjon Norge, Norges forskningsråd og SIVA </w:t>
      </w:r>
      <w:r w:rsidR="00BF62E2">
        <w:rPr>
          <w:rFonts w:cs="Calibri"/>
          <w:color w:val="000000"/>
          <w:kern w:val="0"/>
          <w:sz w:val="24"/>
          <w:szCs w:val="24"/>
        </w:rPr>
        <w:t>og opereres av Innovasjon Norge.</w:t>
      </w:r>
      <w:r w:rsidR="00BF62E2">
        <w:rPr>
          <w:rFonts w:cs="Calibri"/>
          <w:color w:val="000000"/>
          <w:kern w:val="0"/>
          <w:sz w:val="24"/>
          <w:szCs w:val="24"/>
        </w:rPr>
        <w:br/>
      </w:r>
      <w:r w:rsidR="00032502" w:rsidRPr="00C71A2F">
        <w:rPr>
          <w:sz w:val="22"/>
        </w:rPr>
        <w:t>*SPIN – Scandinavian Packaging Innovation Network, interreg finansiert prosjekt som bestod av representanter fra Nofima, Østfoldforskning, NMBU, Karlstad Universitet, Paper Province og Emballasjeforeningen.</w:t>
      </w:r>
    </w:p>
    <w:p w:rsidR="00C71A2F" w:rsidRDefault="00C71A2F" w:rsidP="00C71A2F">
      <w:pPr>
        <w:pStyle w:val="Overskrift1"/>
      </w:pPr>
      <w:r>
        <w:t>Prosjektoversikt</w:t>
      </w:r>
    </w:p>
    <w:p w:rsidR="00746B59" w:rsidRPr="00746B59" w:rsidRDefault="00746B59" w:rsidP="00746B59"/>
    <w:tbl>
      <w:tblPr>
        <w:tblStyle w:val="Tabellrutenett"/>
        <w:tblW w:w="0" w:type="auto"/>
        <w:tblLook w:val="04A0" w:firstRow="1" w:lastRow="0" w:firstColumn="1" w:lastColumn="0" w:noHBand="0" w:noVBand="1"/>
      </w:tblPr>
      <w:tblGrid>
        <w:gridCol w:w="2220"/>
        <w:gridCol w:w="4087"/>
        <w:gridCol w:w="2651"/>
        <w:gridCol w:w="1065"/>
      </w:tblGrid>
      <w:tr w:rsidR="00746B59" w:rsidRPr="00746B59" w:rsidTr="0050343F">
        <w:trPr>
          <w:trHeight w:val="300"/>
        </w:trPr>
        <w:tc>
          <w:tcPr>
            <w:tcW w:w="2220" w:type="dxa"/>
            <w:hideMark/>
          </w:tcPr>
          <w:p w:rsidR="00746B59" w:rsidRPr="00746B59" w:rsidRDefault="00746B59">
            <w:pPr>
              <w:rPr>
                <w:b/>
                <w:bCs/>
              </w:rPr>
            </w:pPr>
            <w:r w:rsidRPr="00746B59">
              <w:rPr>
                <w:b/>
                <w:bCs/>
              </w:rPr>
              <w:t>Prosjektnavn</w:t>
            </w:r>
          </w:p>
        </w:tc>
        <w:tc>
          <w:tcPr>
            <w:tcW w:w="4087" w:type="dxa"/>
            <w:hideMark/>
          </w:tcPr>
          <w:p w:rsidR="00746B59" w:rsidRPr="00746B59" w:rsidRDefault="00746B59">
            <w:pPr>
              <w:rPr>
                <w:b/>
                <w:bCs/>
              </w:rPr>
            </w:pPr>
            <w:r w:rsidRPr="00746B59">
              <w:rPr>
                <w:b/>
                <w:bCs/>
              </w:rPr>
              <w:t>Full prosjekt-tittel</w:t>
            </w:r>
          </w:p>
        </w:tc>
        <w:tc>
          <w:tcPr>
            <w:tcW w:w="2651" w:type="dxa"/>
            <w:hideMark/>
          </w:tcPr>
          <w:p w:rsidR="00746B59" w:rsidRPr="00746B59" w:rsidRDefault="00746B59">
            <w:pPr>
              <w:rPr>
                <w:b/>
                <w:bCs/>
              </w:rPr>
            </w:pPr>
            <w:r w:rsidRPr="00746B59">
              <w:rPr>
                <w:b/>
                <w:bCs/>
              </w:rPr>
              <w:t>Finansieringskilde</w:t>
            </w:r>
          </w:p>
        </w:tc>
        <w:tc>
          <w:tcPr>
            <w:tcW w:w="1065" w:type="dxa"/>
            <w:noWrap/>
            <w:hideMark/>
          </w:tcPr>
          <w:p w:rsidR="00746B59" w:rsidRPr="00746B59" w:rsidRDefault="00746B59">
            <w:pPr>
              <w:rPr>
                <w:b/>
                <w:bCs/>
              </w:rPr>
            </w:pPr>
            <w:r w:rsidRPr="00746B59">
              <w:rPr>
                <w:b/>
                <w:bCs/>
              </w:rPr>
              <w:t>Varighet</w:t>
            </w:r>
          </w:p>
        </w:tc>
      </w:tr>
      <w:tr w:rsidR="00746B59" w:rsidRPr="00746B59" w:rsidTr="0050343F">
        <w:trPr>
          <w:trHeight w:val="900"/>
        </w:trPr>
        <w:tc>
          <w:tcPr>
            <w:tcW w:w="2220" w:type="dxa"/>
            <w:hideMark/>
          </w:tcPr>
          <w:p w:rsidR="00746B59" w:rsidRPr="00746B59" w:rsidRDefault="00746B59">
            <w:r w:rsidRPr="00746B59">
              <w:t>BioPakk</w:t>
            </w:r>
          </w:p>
        </w:tc>
        <w:tc>
          <w:tcPr>
            <w:tcW w:w="4087" w:type="dxa"/>
            <w:hideMark/>
          </w:tcPr>
          <w:p w:rsidR="00746B59" w:rsidRPr="00746B59" w:rsidRDefault="00746B59">
            <w:r w:rsidRPr="00746B59">
              <w:t>Utvikle teknologi for å forbedre egenskapene til dagens biopolymerer som man ønsker å anvende i kommersielle produkter</w:t>
            </w:r>
          </w:p>
        </w:tc>
        <w:tc>
          <w:tcPr>
            <w:tcW w:w="2651" w:type="dxa"/>
            <w:hideMark/>
          </w:tcPr>
          <w:p w:rsidR="00746B59" w:rsidRPr="00746B59" w:rsidRDefault="00746B59">
            <w:r w:rsidRPr="00746B59">
              <w:t>Forskningsrådet BIA</w:t>
            </w:r>
          </w:p>
        </w:tc>
        <w:tc>
          <w:tcPr>
            <w:tcW w:w="1065" w:type="dxa"/>
            <w:noWrap/>
            <w:hideMark/>
          </w:tcPr>
          <w:p w:rsidR="00746B59" w:rsidRPr="00746B59" w:rsidRDefault="00746B59" w:rsidP="00746B59">
            <w:r w:rsidRPr="00746B59">
              <w:t>2012-2016</w:t>
            </w:r>
          </w:p>
        </w:tc>
      </w:tr>
      <w:tr w:rsidR="00746B59" w:rsidRPr="00746B59" w:rsidTr="0050343F">
        <w:trPr>
          <w:trHeight w:val="900"/>
        </w:trPr>
        <w:tc>
          <w:tcPr>
            <w:tcW w:w="2220" w:type="dxa"/>
            <w:hideMark/>
          </w:tcPr>
          <w:p w:rsidR="00746B59" w:rsidRPr="00746B59" w:rsidRDefault="00746B59">
            <w:r w:rsidRPr="00746B59">
              <w:t>Høy kvalitetsprodukter av laks</w:t>
            </w:r>
          </w:p>
        </w:tc>
        <w:tc>
          <w:tcPr>
            <w:tcW w:w="4087" w:type="dxa"/>
            <w:hideMark/>
          </w:tcPr>
          <w:p w:rsidR="00746B59" w:rsidRPr="00746B59" w:rsidRDefault="00746B59">
            <w:r w:rsidRPr="00746B59">
              <w:t>Produksjon av høykvalitets lakseprodukter</w:t>
            </w:r>
          </w:p>
        </w:tc>
        <w:tc>
          <w:tcPr>
            <w:tcW w:w="2651" w:type="dxa"/>
            <w:hideMark/>
          </w:tcPr>
          <w:p w:rsidR="00746B59" w:rsidRPr="00746B59" w:rsidRDefault="00746B59">
            <w:r w:rsidRPr="00746B59">
              <w:t>Marint Verdiskapningsprogram (MVP) i Forskningsrådet</w:t>
            </w:r>
          </w:p>
        </w:tc>
        <w:tc>
          <w:tcPr>
            <w:tcW w:w="1065" w:type="dxa"/>
            <w:noWrap/>
            <w:hideMark/>
          </w:tcPr>
          <w:p w:rsidR="00746B59" w:rsidRPr="00746B59" w:rsidRDefault="00746B59" w:rsidP="00746B59">
            <w:r w:rsidRPr="00746B59">
              <w:t>2012-2015</w:t>
            </w:r>
          </w:p>
        </w:tc>
      </w:tr>
      <w:tr w:rsidR="00746B59" w:rsidRPr="00746B59" w:rsidTr="0050343F">
        <w:trPr>
          <w:trHeight w:val="600"/>
        </w:trPr>
        <w:tc>
          <w:tcPr>
            <w:tcW w:w="2220" w:type="dxa"/>
            <w:hideMark/>
          </w:tcPr>
          <w:p w:rsidR="00746B59" w:rsidRPr="00746B59" w:rsidRDefault="00746B59">
            <w:r w:rsidRPr="00746B59">
              <w:t>GrøntPakk</w:t>
            </w:r>
          </w:p>
        </w:tc>
        <w:tc>
          <w:tcPr>
            <w:tcW w:w="4087" w:type="dxa"/>
            <w:hideMark/>
          </w:tcPr>
          <w:p w:rsidR="00746B59" w:rsidRPr="00746B59" w:rsidRDefault="00746B59">
            <w:r w:rsidRPr="00746B59">
              <w:t>GrøntPakk, Fra jord til bord - Mer grønnsaker med mindre emballasje</w:t>
            </w:r>
          </w:p>
        </w:tc>
        <w:tc>
          <w:tcPr>
            <w:tcW w:w="2651" w:type="dxa"/>
            <w:hideMark/>
          </w:tcPr>
          <w:p w:rsidR="00746B59" w:rsidRPr="00746B59" w:rsidRDefault="00746B59">
            <w:r w:rsidRPr="00746B59">
              <w:t>Regional</w:t>
            </w:r>
            <w:r w:rsidR="00321619">
              <w:t>t</w:t>
            </w:r>
            <w:r w:rsidRPr="00746B59">
              <w:t xml:space="preserve"> Forskningsfond</w:t>
            </w:r>
          </w:p>
        </w:tc>
        <w:tc>
          <w:tcPr>
            <w:tcW w:w="1065" w:type="dxa"/>
            <w:noWrap/>
            <w:hideMark/>
          </w:tcPr>
          <w:p w:rsidR="00746B59" w:rsidRPr="00746B59" w:rsidRDefault="00746B59" w:rsidP="00746B59">
            <w:r w:rsidRPr="00746B59">
              <w:t>2013-2015</w:t>
            </w:r>
          </w:p>
        </w:tc>
      </w:tr>
      <w:tr w:rsidR="00746B59" w:rsidRPr="00746B59" w:rsidTr="0050343F">
        <w:trPr>
          <w:trHeight w:val="900"/>
        </w:trPr>
        <w:tc>
          <w:tcPr>
            <w:tcW w:w="2220" w:type="dxa"/>
            <w:hideMark/>
          </w:tcPr>
          <w:p w:rsidR="00746B59" w:rsidRPr="00746B59" w:rsidRDefault="00746B59">
            <w:r w:rsidRPr="00746B59">
              <w:t>Kvalitetstap og svinn under omsetning av plommer</w:t>
            </w:r>
          </w:p>
        </w:tc>
        <w:tc>
          <w:tcPr>
            <w:tcW w:w="4087" w:type="dxa"/>
            <w:hideMark/>
          </w:tcPr>
          <w:p w:rsidR="00746B59" w:rsidRPr="00746B59" w:rsidRDefault="00746B59">
            <w:r w:rsidRPr="00746B59">
              <w:t>Kvalitetstap og svinn under omsetning av plommer</w:t>
            </w:r>
          </w:p>
        </w:tc>
        <w:tc>
          <w:tcPr>
            <w:tcW w:w="2651" w:type="dxa"/>
            <w:hideMark/>
          </w:tcPr>
          <w:p w:rsidR="00746B59" w:rsidRPr="00746B59" w:rsidRDefault="00746B59">
            <w:r w:rsidRPr="00746B59">
              <w:t>Bionærprogrammet i Forskningsrådet</w:t>
            </w:r>
          </w:p>
        </w:tc>
        <w:tc>
          <w:tcPr>
            <w:tcW w:w="1065" w:type="dxa"/>
            <w:noWrap/>
            <w:hideMark/>
          </w:tcPr>
          <w:p w:rsidR="00746B59" w:rsidRPr="00746B59" w:rsidRDefault="00746B59" w:rsidP="00746B59">
            <w:r w:rsidRPr="00746B59">
              <w:t>2013-2015</w:t>
            </w:r>
          </w:p>
        </w:tc>
      </w:tr>
      <w:tr w:rsidR="00746B59" w:rsidRPr="00746B59" w:rsidTr="0050343F">
        <w:trPr>
          <w:trHeight w:val="900"/>
        </w:trPr>
        <w:tc>
          <w:tcPr>
            <w:tcW w:w="2220" w:type="dxa"/>
            <w:hideMark/>
          </w:tcPr>
          <w:p w:rsidR="00746B59" w:rsidRPr="00746B59" w:rsidRDefault="00746B59">
            <w:r w:rsidRPr="00746B59">
              <w:t>FoodPack</w:t>
            </w:r>
          </w:p>
        </w:tc>
        <w:tc>
          <w:tcPr>
            <w:tcW w:w="4087" w:type="dxa"/>
            <w:hideMark/>
          </w:tcPr>
          <w:p w:rsidR="00746B59" w:rsidRPr="00746B59" w:rsidRDefault="00746B59">
            <w:r w:rsidRPr="00746B59">
              <w:t>Innovativ og bærekraftig emballering for optimal matkvalitet</w:t>
            </w:r>
          </w:p>
        </w:tc>
        <w:tc>
          <w:tcPr>
            <w:tcW w:w="2651" w:type="dxa"/>
            <w:hideMark/>
          </w:tcPr>
          <w:p w:rsidR="00746B59" w:rsidRPr="00746B59" w:rsidRDefault="00746B59">
            <w:r w:rsidRPr="00746B59">
              <w:t>Fondet for forskning</w:t>
            </w:r>
            <w:r w:rsidR="00321619">
              <w:t>s</w:t>
            </w:r>
            <w:r w:rsidRPr="00746B59">
              <w:t>avgift på landbruksprodukter (FFL)</w:t>
            </w:r>
          </w:p>
        </w:tc>
        <w:tc>
          <w:tcPr>
            <w:tcW w:w="1065" w:type="dxa"/>
            <w:noWrap/>
            <w:hideMark/>
          </w:tcPr>
          <w:p w:rsidR="00746B59" w:rsidRPr="00746B59" w:rsidRDefault="00746B59" w:rsidP="00746B59">
            <w:r w:rsidRPr="00746B59">
              <w:t>2013-2016</w:t>
            </w:r>
          </w:p>
        </w:tc>
      </w:tr>
      <w:tr w:rsidR="00746B59" w:rsidRPr="00746B59" w:rsidTr="0050343F">
        <w:trPr>
          <w:trHeight w:val="900"/>
        </w:trPr>
        <w:tc>
          <w:tcPr>
            <w:tcW w:w="2220" w:type="dxa"/>
            <w:hideMark/>
          </w:tcPr>
          <w:p w:rsidR="00746B59" w:rsidRPr="00746B59" w:rsidRDefault="00746B59">
            <w:r w:rsidRPr="00746B59">
              <w:t>Fusions</w:t>
            </w:r>
          </w:p>
        </w:tc>
        <w:tc>
          <w:tcPr>
            <w:tcW w:w="4087" w:type="dxa"/>
            <w:hideMark/>
          </w:tcPr>
          <w:p w:rsidR="00746B59" w:rsidRPr="00746B59" w:rsidRDefault="00746B59">
            <w:pPr>
              <w:rPr>
                <w:lang w:val="en-US"/>
              </w:rPr>
            </w:pPr>
            <w:r w:rsidRPr="00746B59">
              <w:rPr>
                <w:lang w:val="en-US"/>
              </w:rPr>
              <w:t>More efficient use of resources and a considerable reduction of food waste in the food chain from field to fork.</w:t>
            </w:r>
          </w:p>
        </w:tc>
        <w:tc>
          <w:tcPr>
            <w:tcW w:w="2651" w:type="dxa"/>
            <w:hideMark/>
          </w:tcPr>
          <w:p w:rsidR="00746B59" w:rsidRPr="00746B59" w:rsidRDefault="00746B59">
            <w:r w:rsidRPr="00746B59">
              <w:t>EU</w:t>
            </w:r>
          </w:p>
        </w:tc>
        <w:tc>
          <w:tcPr>
            <w:tcW w:w="1065" w:type="dxa"/>
            <w:noWrap/>
            <w:hideMark/>
          </w:tcPr>
          <w:p w:rsidR="00746B59" w:rsidRPr="00746B59" w:rsidRDefault="00746B59" w:rsidP="00746B59">
            <w:r w:rsidRPr="00746B59">
              <w:t>2012-2015</w:t>
            </w:r>
          </w:p>
        </w:tc>
      </w:tr>
      <w:tr w:rsidR="00746B59" w:rsidRPr="00746B59" w:rsidTr="0050343F">
        <w:trPr>
          <w:trHeight w:val="600"/>
        </w:trPr>
        <w:tc>
          <w:tcPr>
            <w:tcW w:w="2220" w:type="dxa"/>
            <w:hideMark/>
          </w:tcPr>
          <w:p w:rsidR="00746B59" w:rsidRPr="00746B59" w:rsidRDefault="00746B59">
            <w:r w:rsidRPr="00746B59">
              <w:t>Nanobarrier</w:t>
            </w:r>
          </w:p>
        </w:tc>
        <w:tc>
          <w:tcPr>
            <w:tcW w:w="4087" w:type="dxa"/>
            <w:hideMark/>
          </w:tcPr>
          <w:p w:rsidR="00746B59" w:rsidRPr="00746B59" w:rsidRDefault="00746B59">
            <w:pPr>
              <w:rPr>
                <w:lang w:val="en-US"/>
              </w:rPr>
            </w:pPr>
            <w:r w:rsidRPr="00746B59">
              <w:rPr>
                <w:lang w:val="en-US"/>
              </w:rPr>
              <w:t>Extended shelf-life biopolymers for sustainable and multifunctional food packaging solutions</w:t>
            </w:r>
          </w:p>
        </w:tc>
        <w:tc>
          <w:tcPr>
            <w:tcW w:w="2651" w:type="dxa"/>
            <w:hideMark/>
          </w:tcPr>
          <w:p w:rsidR="00746B59" w:rsidRPr="00746B59" w:rsidRDefault="00746B59">
            <w:r w:rsidRPr="00746B59">
              <w:t>EU</w:t>
            </w:r>
          </w:p>
        </w:tc>
        <w:tc>
          <w:tcPr>
            <w:tcW w:w="1065" w:type="dxa"/>
            <w:hideMark/>
          </w:tcPr>
          <w:p w:rsidR="00746B59" w:rsidRPr="00746B59" w:rsidRDefault="00746B59" w:rsidP="00746B59">
            <w:r w:rsidRPr="00746B59">
              <w:t>2012-2016</w:t>
            </w:r>
          </w:p>
        </w:tc>
      </w:tr>
      <w:tr w:rsidR="00746B59" w:rsidRPr="00746B59" w:rsidTr="0050343F">
        <w:trPr>
          <w:trHeight w:val="900"/>
        </w:trPr>
        <w:tc>
          <w:tcPr>
            <w:tcW w:w="2220" w:type="dxa"/>
            <w:hideMark/>
          </w:tcPr>
          <w:p w:rsidR="00746B59" w:rsidRPr="00746B59" w:rsidRDefault="00746B59">
            <w:r w:rsidRPr="00746B59">
              <w:t>KIM</w:t>
            </w:r>
          </w:p>
        </w:tc>
        <w:tc>
          <w:tcPr>
            <w:tcW w:w="4087" w:type="dxa"/>
            <w:hideMark/>
          </w:tcPr>
          <w:p w:rsidR="00746B59" w:rsidRPr="00746B59" w:rsidRDefault="00746B59">
            <w:r w:rsidRPr="00746B59">
              <w:t>Kjemikalier i matvareemballasje - Trygg emballering gjennom økt</w:t>
            </w:r>
            <w:r w:rsidRPr="00746B59">
              <w:br/>
              <w:t>kompetanse og nye analysemetoder</w:t>
            </w:r>
          </w:p>
        </w:tc>
        <w:tc>
          <w:tcPr>
            <w:tcW w:w="2651" w:type="dxa"/>
            <w:hideMark/>
          </w:tcPr>
          <w:p w:rsidR="00746B59" w:rsidRPr="00746B59" w:rsidRDefault="00746B59">
            <w:r w:rsidRPr="00746B59">
              <w:t>Bionærprogrammet i Forskningsrådet</w:t>
            </w:r>
          </w:p>
        </w:tc>
        <w:tc>
          <w:tcPr>
            <w:tcW w:w="1065" w:type="dxa"/>
            <w:noWrap/>
            <w:hideMark/>
          </w:tcPr>
          <w:p w:rsidR="0050343F" w:rsidRPr="00746B59" w:rsidRDefault="00746B59" w:rsidP="00746B59">
            <w:r w:rsidRPr="00746B59">
              <w:t>2014-2016</w:t>
            </w:r>
          </w:p>
        </w:tc>
      </w:tr>
      <w:tr w:rsidR="00746B59" w:rsidRPr="00746B59" w:rsidTr="0050343F">
        <w:trPr>
          <w:trHeight w:val="600"/>
        </w:trPr>
        <w:tc>
          <w:tcPr>
            <w:tcW w:w="2220" w:type="dxa"/>
            <w:hideMark/>
          </w:tcPr>
          <w:p w:rsidR="00746B59" w:rsidRPr="00746B59" w:rsidRDefault="00746B59">
            <w:r w:rsidRPr="00746B59">
              <w:t>BreadPack</w:t>
            </w:r>
          </w:p>
        </w:tc>
        <w:tc>
          <w:tcPr>
            <w:tcW w:w="4087" w:type="dxa"/>
            <w:hideMark/>
          </w:tcPr>
          <w:p w:rsidR="00746B59" w:rsidRPr="00746B59" w:rsidRDefault="00746B59">
            <w:r w:rsidRPr="00746B59">
              <w:t>Nye fiberbaserte emballasjeløsninger for ferske bakervarer</w:t>
            </w:r>
          </w:p>
        </w:tc>
        <w:tc>
          <w:tcPr>
            <w:tcW w:w="2651" w:type="dxa"/>
            <w:hideMark/>
          </w:tcPr>
          <w:p w:rsidR="00746B59" w:rsidRPr="00746B59" w:rsidRDefault="00746B59">
            <w:r w:rsidRPr="00746B59">
              <w:t>Bionærprogrammet i Forskningsrådet</w:t>
            </w:r>
          </w:p>
        </w:tc>
        <w:tc>
          <w:tcPr>
            <w:tcW w:w="1065" w:type="dxa"/>
            <w:noWrap/>
            <w:hideMark/>
          </w:tcPr>
          <w:p w:rsidR="00746B59" w:rsidRPr="00746B59" w:rsidRDefault="00746B59" w:rsidP="00746B59">
            <w:r w:rsidRPr="00746B59">
              <w:t>2013-2015</w:t>
            </w:r>
          </w:p>
        </w:tc>
      </w:tr>
      <w:tr w:rsidR="00746B59" w:rsidRPr="00746B59" w:rsidTr="0050343F">
        <w:trPr>
          <w:trHeight w:val="900"/>
        </w:trPr>
        <w:tc>
          <w:tcPr>
            <w:tcW w:w="2220" w:type="dxa"/>
            <w:hideMark/>
          </w:tcPr>
          <w:p w:rsidR="00746B59" w:rsidRPr="00746B59" w:rsidRDefault="00746B59">
            <w:r w:rsidRPr="00746B59">
              <w:t>Teknofrukt</w:t>
            </w:r>
          </w:p>
        </w:tc>
        <w:tc>
          <w:tcPr>
            <w:tcW w:w="4087" w:type="dxa"/>
            <w:hideMark/>
          </w:tcPr>
          <w:p w:rsidR="00746B59" w:rsidRPr="00746B59" w:rsidRDefault="00746B59">
            <w:r w:rsidRPr="00746B59">
              <w:t>Nye lagrings- og pakketeknologier for forlenget salgssesong og bevaring av høy kvalitet på norsk frukt</w:t>
            </w:r>
          </w:p>
        </w:tc>
        <w:tc>
          <w:tcPr>
            <w:tcW w:w="2651" w:type="dxa"/>
            <w:hideMark/>
          </w:tcPr>
          <w:p w:rsidR="00746B59" w:rsidRPr="00746B59" w:rsidRDefault="00746B59">
            <w:r w:rsidRPr="00746B59">
              <w:t>Fondet for forskning</w:t>
            </w:r>
            <w:r w:rsidR="00321619">
              <w:t>s</w:t>
            </w:r>
            <w:r w:rsidRPr="00746B59">
              <w:t>avgift på landbruksprodukter (FFL)</w:t>
            </w:r>
          </w:p>
        </w:tc>
        <w:tc>
          <w:tcPr>
            <w:tcW w:w="1065" w:type="dxa"/>
            <w:noWrap/>
            <w:hideMark/>
          </w:tcPr>
          <w:p w:rsidR="00746B59" w:rsidRPr="00746B59" w:rsidRDefault="00746B59" w:rsidP="00746B59">
            <w:r w:rsidRPr="00746B59">
              <w:t>2015-2017</w:t>
            </w:r>
          </w:p>
        </w:tc>
      </w:tr>
      <w:tr w:rsidR="00746B59" w:rsidRPr="00746B59" w:rsidTr="0050343F">
        <w:trPr>
          <w:trHeight w:val="600"/>
        </w:trPr>
        <w:tc>
          <w:tcPr>
            <w:tcW w:w="2220" w:type="dxa"/>
            <w:hideMark/>
          </w:tcPr>
          <w:p w:rsidR="00746B59" w:rsidRPr="00746B59" w:rsidRDefault="00746B59">
            <w:r w:rsidRPr="00746B59">
              <w:t>Videreutvikling CO2- emitter</w:t>
            </w:r>
          </w:p>
        </w:tc>
        <w:tc>
          <w:tcPr>
            <w:tcW w:w="4087" w:type="dxa"/>
            <w:hideMark/>
          </w:tcPr>
          <w:p w:rsidR="00746B59" w:rsidRPr="00746B59" w:rsidRDefault="00746B59">
            <w:r w:rsidRPr="00746B59">
              <w:t>Videreutvikling CO2 emitter</w:t>
            </w:r>
          </w:p>
        </w:tc>
        <w:tc>
          <w:tcPr>
            <w:tcW w:w="2651" w:type="dxa"/>
            <w:hideMark/>
          </w:tcPr>
          <w:p w:rsidR="00746B59" w:rsidRPr="00746B59" w:rsidRDefault="00746B59">
            <w:r w:rsidRPr="00746B59">
              <w:t>Vinnova - Sverige</w:t>
            </w:r>
          </w:p>
        </w:tc>
        <w:tc>
          <w:tcPr>
            <w:tcW w:w="1065" w:type="dxa"/>
            <w:noWrap/>
            <w:hideMark/>
          </w:tcPr>
          <w:p w:rsidR="00746B59" w:rsidRPr="00746B59" w:rsidRDefault="00746B59" w:rsidP="00746B59">
            <w:r w:rsidRPr="00746B59">
              <w:t>2015</w:t>
            </w:r>
          </w:p>
        </w:tc>
      </w:tr>
      <w:tr w:rsidR="00746B59" w:rsidRPr="00746B59" w:rsidTr="0050343F">
        <w:trPr>
          <w:trHeight w:val="600"/>
        </w:trPr>
        <w:tc>
          <w:tcPr>
            <w:tcW w:w="2220" w:type="dxa"/>
            <w:hideMark/>
          </w:tcPr>
          <w:p w:rsidR="00746B59" w:rsidRPr="00746B59" w:rsidRDefault="00746B59">
            <w:r w:rsidRPr="00746B59">
              <w:t>REforRem</w:t>
            </w:r>
          </w:p>
        </w:tc>
        <w:tc>
          <w:tcPr>
            <w:tcW w:w="4087" w:type="dxa"/>
            <w:hideMark/>
          </w:tcPr>
          <w:p w:rsidR="00746B59" w:rsidRPr="00746B59" w:rsidRDefault="00746B59">
            <w:r w:rsidRPr="00746B59">
              <w:t>Riktig emballering for redusert matsvinn</w:t>
            </w:r>
          </w:p>
        </w:tc>
        <w:tc>
          <w:tcPr>
            <w:tcW w:w="2651" w:type="dxa"/>
            <w:hideMark/>
          </w:tcPr>
          <w:p w:rsidR="00746B59" w:rsidRPr="00746B59" w:rsidRDefault="00746B59">
            <w:r w:rsidRPr="00746B59">
              <w:t>Bionærprogrammet i Forskningsrådet</w:t>
            </w:r>
          </w:p>
        </w:tc>
        <w:tc>
          <w:tcPr>
            <w:tcW w:w="1065" w:type="dxa"/>
            <w:noWrap/>
            <w:hideMark/>
          </w:tcPr>
          <w:p w:rsidR="00746B59" w:rsidRPr="00746B59" w:rsidRDefault="00746B59" w:rsidP="00746B59">
            <w:r w:rsidRPr="00746B59">
              <w:t>2015-2017</w:t>
            </w:r>
          </w:p>
        </w:tc>
      </w:tr>
      <w:tr w:rsidR="00746B59" w:rsidRPr="00746B59" w:rsidTr="0050343F">
        <w:trPr>
          <w:trHeight w:val="900"/>
        </w:trPr>
        <w:tc>
          <w:tcPr>
            <w:tcW w:w="2220" w:type="dxa"/>
            <w:hideMark/>
          </w:tcPr>
          <w:p w:rsidR="00746B59" w:rsidRPr="00746B59" w:rsidRDefault="00746B59">
            <w:r w:rsidRPr="00746B59">
              <w:t>Freshpack</w:t>
            </w:r>
          </w:p>
        </w:tc>
        <w:tc>
          <w:tcPr>
            <w:tcW w:w="4087" w:type="dxa"/>
            <w:hideMark/>
          </w:tcPr>
          <w:p w:rsidR="00746B59" w:rsidRPr="00746B59" w:rsidRDefault="00746B59">
            <w:r w:rsidRPr="00746B59">
              <w:t>Emballering av kjøttvarer</w:t>
            </w:r>
          </w:p>
        </w:tc>
        <w:tc>
          <w:tcPr>
            <w:tcW w:w="2651" w:type="dxa"/>
            <w:hideMark/>
          </w:tcPr>
          <w:p w:rsidR="00746B59" w:rsidRPr="00746B59" w:rsidRDefault="00746B59">
            <w:r w:rsidRPr="00746B59">
              <w:t>Fondet for forskning</w:t>
            </w:r>
            <w:r w:rsidR="00321619">
              <w:t>s</w:t>
            </w:r>
            <w:r w:rsidRPr="00746B59">
              <w:t>avgift på landbruksprodukter (FFL)</w:t>
            </w:r>
          </w:p>
        </w:tc>
        <w:tc>
          <w:tcPr>
            <w:tcW w:w="1065" w:type="dxa"/>
            <w:noWrap/>
            <w:hideMark/>
          </w:tcPr>
          <w:p w:rsidR="00746B59" w:rsidRPr="00746B59" w:rsidRDefault="00746B59" w:rsidP="00746B59">
            <w:r w:rsidRPr="00746B59">
              <w:t>2015-2017</w:t>
            </w:r>
          </w:p>
        </w:tc>
      </w:tr>
      <w:tr w:rsidR="00746B59" w:rsidRPr="00746B59" w:rsidTr="0050343F">
        <w:trPr>
          <w:trHeight w:val="1200"/>
        </w:trPr>
        <w:tc>
          <w:tcPr>
            <w:tcW w:w="2220" w:type="dxa"/>
            <w:hideMark/>
          </w:tcPr>
          <w:p w:rsidR="00746B59" w:rsidRPr="00746B59" w:rsidRDefault="00746B59">
            <w:r w:rsidRPr="00746B59">
              <w:t>S-Varnish</w:t>
            </w:r>
          </w:p>
        </w:tc>
        <w:tc>
          <w:tcPr>
            <w:tcW w:w="4087" w:type="dxa"/>
            <w:hideMark/>
          </w:tcPr>
          <w:p w:rsidR="00746B59" w:rsidRPr="00746B59" w:rsidRDefault="00746B59">
            <w:pPr>
              <w:rPr>
                <w:lang w:val="en-US"/>
              </w:rPr>
            </w:pPr>
            <w:r w:rsidRPr="00746B59">
              <w:rPr>
                <w:lang w:val="en-US"/>
              </w:rPr>
              <w:t>Varnish development with antimicrobial, oxygen and water vapor barrier properties and improved physic-mechanical properties, to be used in food industry</w:t>
            </w:r>
          </w:p>
        </w:tc>
        <w:tc>
          <w:tcPr>
            <w:tcW w:w="2651" w:type="dxa"/>
            <w:hideMark/>
          </w:tcPr>
          <w:p w:rsidR="00746B59" w:rsidRPr="00746B59" w:rsidRDefault="00746B59">
            <w:r w:rsidRPr="00746B59">
              <w:t>EU</w:t>
            </w:r>
          </w:p>
        </w:tc>
        <w:tc>
          <w:tcPr>
            <w:tcW w:w="1065" w:type="dxa"/>
            <w:noWrap/>
            <w:hideMark/>
          </w:tcPr>
          <w:p w:rsidR="00746B59" w:rsidRPr="00746B59" w:rsidRDefault="00746B59" w:rsidP="00746B59">
            <w:r w:rsidRPr="00746B59">
              <w:t>2014-2016</w:t>
            </w:r>
          </w:p>
        </w:tc>
      </w:tr>
      <w:tr w:rsidR="00746B59" w:rsidRPr="00746B59" w:rsidTr="0050343F">
        <w:trPr>
          <w:trHeight w:val="300"/>
        </w:trPr>
        <w:tc>
          <w:tcPr>
            <w:tcW w:w="2220" w:type="dxa"/>
            <w:hideMark/>
          </w:tcPr>
          <w:p w:rsidR="00746B59" w:rsidRPr="00746B59" w:rsidRDefault="00746B59">
            <w:r w:rsidRPr="00746B59">
              <w:t>Eco-Berries</w:t>
            </w:r>
          </w:p>
        </w:tc>
        <w:tc>
          <w:tcPr>
            <w:tcW w:w="4087" w:type="dxa"/>
            <w:hideMark/>
          </w:tcPr>
          <w:p w:rsidR="00746B59" w:rsidRPr="00746B59" w:rsidRDefault="00746B59">
            <w:r w:rsidRPr="00746B59">
              <w:t>Emballering av økologiske bær</w:t>
            </w:r>
          </w:p>
        </w:tc>
        <w:tc>
          <w:tcPr>
            <w:tcW w:w="2651" w:type="dxa"/>
            <w:hideMark/>
          </w:tcPr>
          <w:p w:rsidR="00746B59" w:rsidRPr="00746B59" w:rsidRDefault="00746B59">
            <w:r w:rsidRPr="00746B59">
              <w:t>EU</w:t>
            </w:r>
          </w:p>
        </w:tc>
        <w:tc>
          <w:tcPr>
            <w:tcW w:w="1065" w:type="dxa"/>
            <w:noWrap/>
            <w:hideMark/>
          </w:tcPr>
          <w:p w:rsidR="00746B59" w:rsidRPr="00746B59" w:rsidRDefault="00746B59" w:rsidP="00746B59">
            <w:r w:rsidRPr="00746B59">
              <w:t>2015-2016</w:t>
            </w:r>
          </w:p>
        </w:tc>
      </w:tr>
      <w:tr w:rsidR="00746B59" w:rsidRPr="00746B59" w:rsidTr="0050343F">
        <w:trPr>
          <w:trHeight w:val="300"/>
        </w:trPr>
        <w:tc>
          <w:tcPr>
            <w:tcW w:w="2220" w:type="dxa"/>
            <w:hideMark/>
          </w:tcPr>
          <w:p w:rsidR="00746B59" w:rsidRPr="00746B59" w:rsidRDefault="00746B59">
            <w:r w:rsidRPr="00746B59">
              <w:t>FLEXTAG</w:t>
            </w:r>
          </w:p>
        </w:tc>
        <w:tc>
          <w:tcPr>
            <w:tcW w:w="4087" w:type="dxa"/>
            <w:hideMark/>
          </w:tcPr>
          <w:p w:rsidR="00746B59" w:rsidRPr="00746B59" w:rsidRDefault="00746B59">
            <w:pPr>
              <w:rPr>
                <w:lang w:val="en-US"/>
              </w:rPr>
            </w:pPr>
            <w:r w:rsidRPr="00746B59">
              <w:rPr>
                <w:lang w:val="en-US"/>
              </w:rPr>
              <w:t>Flexible Low Cost Smart Tags</w:t>
            </w:r>
          </w:p>
        </w:tc>
        <w:tc>
          <w:tcPr>
            <w:tcW w:w="2651" w:type="dxa"/>
            <w:hideMark/>
          </w:tcPr>
          <w:p w:rsidR="00746B59" w:rsidRPr="00746B59" w:rsidRDefault="00746B59">
            <w:r w:rsidRPr="00746B59">
              <w:t>Forskningsrådet BIA</w:t>
            </w:r>
          </w:p>
        </w:tc>
        <w:tc>
          <w:tcPr>
            <w:tcW w:w="1065" w:type="dxa"/>
            <w:noWrap/>
            <w:hideMark/>
          </w:tcPr>
          <w:p w:rsidR="00746B59" w:rsidRPr="00746B59" w:rsidRDefault="00746B59" w:rsidP="00746B59">
            <w:r w:rsidRPr="00746B59">
              <w:t>2015-2017</w:t>
            </w:r>
          </w:p>
        </w:tc>
      </w:tr>
      <w:tr w:rsidR="00746B59" w:rsidRPr="00746B59" w:rsidTr="0050343F">
        <w:trPr>
          <w:trHeight w:val="1200"/>
        </w:trPr>
        <w:tc>
          <w:tcPr>
            <w:tcW w:w="2220" w:type="dxa"/>
            <w:hideMark/>
          </w:tcPr>
          <w:p w:rsidR="00746B59" w:rsidRPr="00746B59" w:rsidRDefault="00746B59">
            <w:r w:rsidRPr="00746B59">
              <w:t>PermHeft</w:t>
            </w:r>
          </w:p>
        </w:tc>
        <w:tc>
          <w:tcPr>
            <w:tcW w:w="4087" w:type="dxa"/>
            <w:hideMark/>
          </w:tcPr>
          <w:p w:rsidR="00746B59" w:rsidRPr="00746B59" w:rsidRDefault="00746B59">
            <w:r w:rsidRPr="00746B59">
              <w:t>Nye løsninger for flerlagskonstruksjoner med redusert permeabilitet og bedret vedheft. Deler av prosjektet går på å forbedre forbrukerbeholdere for propan (ikke matvare-emballasje)</w:t>
            </w:r>
          </w:p>
        </w:tc>
        <w:tc>
          <w:tcPr>
            <w:tcW w:w="2651" w:type="dxa"/>
            <w:hideMark/>
          </w:tcPr>
          <w:p w:rsidR="00746B59" w:rsidRPr="00746B59" w:rsidRDefault="00746B59">
            <w:r w:rsidRPr="00746B59">
              <w:t>Forskningsrådet BIA</w:t>
            </w:r>
          </w:p>
        </w:tc>
        <w:tc>
          <w:tcPr>
            <w:tcW w:w="1065" w:type="dxa"/>
            <w:noWrap/>
            <w:hideMark/>
          </w:tcPr>
          <w:p w:rsidR="00746B59" w:rsidRPr="00746B59" w:rsidRDefault="00746B59" w:rsidP="00746B59">
            <w:r w:rsidRPr="00746B59">
              <w:t>2015-2018</w:t>
            </w:r>
          </w:p>
        </w:tc>
      </w:tr>
      <w:tr w:rsidR="00746B59" w:rsidRPr="00746B59" w:rsidTr="0050343F">
        <w:trPr>
          <w:trHeight w:val="1500"/>
        </w:trPr>
        <w:tc>
          <w:tcPr>
            <w:tcW w:w="2220" w:type="dxa"/>
            <w:hideMark/>
          </w:tcPr>
          <w:p w:rsidR="00746B59" w:rsidRPr="00746B59" w:rsidRDefault="00746B59">
            <w:r w:rsidRPr="00746B59">
              <w:t>ComVessel</w:t>
            </w:r>
          </w:p>
        </w:tc>
        <w:tc>
          <w:tcPr>
            <w:tcW w:w="4087" w:type="dxa"/>
            <w:hideMark/>
          </w:tcPr>
          <w:p w:rsidR="00746B59" w:rsidRPr="00746B59" w:rsidRDefault="00746B59">
            <w:r w:rsidRPr="00746B59">
              <w:rPr>
                <w:lang w:val="en-US"/>
              </w:rPr>
              <w:t xml:space="preserve">Optimal design and production process for composite gas pressure vessels. </w:t>
            </w:r>
            <w:r w:rsidRPr="00746B59">
              <w:t>Prosjektet går på å forbedre egenskaper til beholdere for drivstoff (CNG) og forbrukerbeholdere for propan (ikke matvare-emballasje)</w:t>
            </w:r>
          </w:p>
        </w:tc>
        <w:tc>
          <w:tcPr>
            <w:tcW w:w="2651" w:type="dxa"/>
            <w:hideMark/>
          </w:tcPr>
          <w:p w:rsidR="00746B59" w:rsidRPr="00746B59" w:rsidRDefault="00746B59">
            <w:r w:rsidRPr="00746B59">
              <w:t>Forskningsrådet BIA</w:t>
            </w:r>
          </w:p>
        </w:tc>
        <w:tc>
          <w:tcPr>
            <w:tcW w:w="1065" w:type="dxa"/>
            <w:noWrap/>
            <w:hideMark/>
          </w:tcPr>
          <w:p w:rsidR="00746B59" w:rsidRPr="00746B59" w:rsidRDefault="00746B59">
            <w:r w:rsidRPr="00746B59">
              <w:t>2015-2018</w:t>
            </w:r>
          </w:p>
        </w:tc>
      </w:tr>
    </w:tbl>
    <w:p w:rsidR="00C71A2F" w:rsidRDefault="00C71A2F" w:rsidP="00030A34"/>
    <w:p w:rsidR="00EA55C6" w:rsidRDefault="00EA55C6" w:rsidP="00030A34"/>
    <w:p w:rsidR="00EA55C6" w:rsidRDefault="009C425E" w:rsidP="009C425E">
      <w:pPr>
        <w:pStyle w:val="Overskrift1"/>
      </w:pPr>
      <w:r>
        <w:t>Forskningsformidling</w:t>
      </w:r>
    </w:p>
    <w:p w:rsidR="009C425E" w:rsidRPr="009C425E" w:rsidRDefault="009C425E" w:rsidP="009C425E">
      <w:pPr>
        <w:pStyle w:val="Overskrift2"/>
        <w:rPr>
          <w:lang w:eastAsia="en-GB"/>
        </w:rPr>
      </w:pPr>
      <w:r w:rsidRPr="009C425E">
        <w:rPr>
          <w:lang w:eastAsia="en-GB"/>
        </w:rPr>
        <w:t xml:space="preserve">NanoBarrier </w:t>
      </w:r>
    </w:p>
    <w:p w:rsidR="009C425E" w:rsidRPr="009C425E" w:rsidRDefault="009C425E" w:rsidP="001F13A6">
      <w:pPr>
        <w:spacing w:line="360" w:lineRule="auto"/>
        <w:rPr>
          <w:rFonts w:eastAsia="Times New Roman"/>
          <w:sz w:val="24"/>
          <w:szCs w:val="24"/>
          <w:lang w:eastAsia="en-GB"/>
        </w:rPr>
      </w:pPr>
      <w:r w:rsidRPr="009C425E">
        <w:rPr>
          <w:rFonts w:eastAsia="Times New Roman"/>
          <w:sz w:val="24"/>
          <w:szCs w:val="24"/>
          <w:lang w:eastAsia="en-GB"/>
        </w:rPr>
        <w:t>NanoBarrier har vært et fire-årig prosjekt innen EUs 7. rammeprogram. 15 partnere, hvorav 6 industribedrifter har deltatt (total prosjektramme nesten 10 millioner Euro).</w:t>
      </w:r>
    </w:p>
    <w:p w:rsidR="009C425E" w:rsidRPr="009C425E" w:rsidRDefault="009C425E" w:rsidP="001F13A6">
      <w:pPr>
        <w:spacing w:line="360" w:lineRule="auto"/>
        <w:rPr>
          <w:rFonts w:eastAsia="Times New Roman"/>
          <w:sz w:val="24"/>
          <w:szCs w:val="24"/>
          <w:lang w:eastAsia="en-GB"/>
        </w:rPr>
      </w:pPr>
      <w:r w:rsidRPr="009C425E">
        <w:rPr>
          <w:rFonts w:eastAsia="Times New Roman"/>
          <w:sz w:val="24"/>
          <w:szCs w:val="24"/>
          <w:lang w:eastAsia="en-GB"/>
        </w:rPr>
        <w:t>Overordnet mål i prosjektet var å utvikle multifunksjonelle emballasjeløsninger gjennom utvikling av en nanoteknologibasert plattform av additiver, og integrere dem i biomaterialer (PLA og Bio-PET). Materialvalgene er basert på bærekraftige løsninger.</w:t>
      </w:r>
    </w:p>
    <w:p w:rsidR="009C425E" w:rsidRPr="009C425E" w:rsidRDefault="009C425E" w:rsidP="001F13A6">
      <w:pPr>
        <w:spacing w:line="360" w:lineRule="auto"/>
        <w:rPr>
          <w:rFonts w:eastAsia="Times New Roman"/>
          <w:sz w:val="24"/>
          <w:szCs w:val="24"/>
          <w:lang w:eastAsia="en-GB"/>
        </w:rPr>
      </w:pPr>
      <w:r w:rsidRPr="009C425E">
        <w:rPr>
          <w:rFonts w:eastAsia="Times New Roman"/>
          <w:sz w:val="24"/>
          <w:szCs w:val="24"/>
          <w:lang w:eastAsia="en-GB"/>
        </w:rPr>
        <w:t>Nanoteknologiplattformen har gitt biomaterialene forbedrede oksygenbarriereegenskaper i tillegg til integrerte sensorer for deteksjon av oksygen, temperatureksponering, pH-endringer og mekanisk brudd.</w:t>
      </w:r>
    </w:p>
    <w:p w:rsidR="009C425E" w:rsidRPr="009C425E" w:rsidRDefault="009C425E" w:rsidP="001F13A6">
      <w:pPr>
        <w:spacing w:after="120" w:line="360" w:lineRule="auto"/>
        <w:rPr>
          <w:rFonts w:eastAsia="Times New Roman"/>
          <w:sz w:val="24"/>
          <w:szCs w:val="24"/>
          <w:lang w:eastAsia="en-GB"/>
        </w:rPr>
      </w:pPr>
      <w:r w:rsidRPr="009C425E">
        <w:rPr>
          <w:rFonts w:eastAsia="Times New Roman"/>
          <w:sz w:val="24"/>
          <w:szCs w:val="24"/>
          <w:lang w:eastAsia="en-GB"/>
        </w:rPr>
        <w:lastRenderedPageBreak/>
        <w:t>Prosjektet har demonstrert løsningene gjennom 4 demonstratorer som blant annet anvender norskutviklet teknologi (Borregaards mikrofibrillær cellulose-MFC, og SINTEFs hybridpolymerer-FunzioNano</w:t>
      </w:r>
      <w:r w:rsidRPr="009C425E">
        <w:rPr>
          <w:rFonts w:eastAsia="Times New Roman"/>
          <w:sz w:val="24"/>
          <w:szCs w:val="24"/>
          <w:vertAlign w:val="superscript"/>
          <w:lang w:eastAsia="en-GB"/>
        </w:rPr>
        <w:t>TM</w:t>
      </w:r>
      <w:r w:rsidRPr="009C425E">
        <w:rPr>
          <w:rFonts w:eastAsia="Times New Roman"/>
          <w:sz w:val="24"/>
          <w:szCs w:val="24"/>
          <w:lang w:eastAsia="en-GB"/>
        </w:rPr>
        <w:t xml:space="preserve">). </w:t>
      </w:r>
    </w:p>
    <w:p w:rsidR="009C425E" w:rsidRDefault="009C425E" w:rsidP="009C425E">
      <w:pPr>
        <w:spacing w:after="0"/>
        <w:rPr>
          <w:rFonts w:eastAsia="Times New Roman"/>
          <w:sz w:val="24"/>
          <w:szCs w:val="24"/>
          <w:lang w:eastAsia="en-GB"/>
        </w:rPr>
      </w:pPr>
    </w:p>
    <w:p w:rsidR="009C425E" w:rsidRPr="009C425E" w:rsidRDefault="009C425E" w:rsidP="001F13A6">
      <w:pPr>
        <w:spacing w:after="0" w:line="360" w:lineRule="auto"/>
        <w:rPr>
          <w:rFonts w:eastAsia="Times New Roman"/>
          <w:sz w:val="24"/>
          <w:szCs w:val="24"/>
          <w:lang w:eastAsia="en-GB"/>
        </w:rPr>
      </w:pPr>
      <w:r w:rsidRPr="009C425E">
        <w:rPr>
          <w:rFonts w:eastAsia="Times New Roman"/>
          <w:sz w:val="24"/>
          <w:szCs w:val="24"/>
          <w:lang w:eastAsia="en-GB"/>
        </w:rPr>
        <w:t>Demonstratorer, basismaterialer og oppnådd forbedring av OTR:</w:t>
      </w:r>
    </w:p>
    <w:p w:rsidR="009C425E" w:rsidRPr="009C425E" w:rsidRDefault="009C425E" w:rsidP="001F13A6">
      <w:pPr>
        <w:pStyle w:val="Listeavsnitt"/>
        <w:numPr>
          <w:ilvl w:val="0"/>
          <w:numId w:val="24"/>
        </w:numPr>
        <w:spacing w:after="0" w:line="360" w:lineRule="auto"/>
        <w:ind w:left="284" w:hanging="284"/>
        <w:contextualSpacing w:val="0"/>
        <w:rPr>
          <w:rFonts w:eastAsia="Times New Roman" w:cstheme="minorBidi"/>
          <w:sz w:val="24"/>
          <w:szCs w:val="24"/>
          <w:lang w:eastAsia="en-GB"/>
        </w:rPr>
      </w:pPr>
      <w:r w:rsidRPr="009C425E">
        <w:rPr>
          <w:rFonts w:eastAsia="Times New Roman" w:cstheme="minorBidi"/>
          <w:sz w:val="24"/>
          <w:szCs w:val="24"/>
          <w:lang w:eastAsia="en-GB"/>
        </w:rPr>
        <w:t>thermoformet flerlagsfilm – PLA/MFC/PLA: 3x redusert OTR sammenliknet med referansen PE/PA/PE-film</w:t>
      </w:r>
    </w:p>
    <w:p w:rsidR="009C425E" w:rsidRPr="009C425E" w:rsidRDefault="009C425E" w:rsidP="001F13A6">
      <w:pPr>
        <w:pStyle w:val="Listeavsnitt"/>
        <w:numPr>
          <w:ilvl w:val="0"/>
          <w:numId w:val="24"/>
        </w:numPr>
        <w:spacing w:after="0" w:line="360" w:lineRule="auto"/>
        <w:ind w:left="284" w:hanging="284"/>
        <w:contextualSpacing w:val="0"/>
        <w:rPr>
          <w:rFonts w:eastAsia="Times New Roman" w:cstheme="minorBidi"/>
          <w:sz w:val="24"/>
          <w:szCs w:val="24"/>
          <w:lang w:eastAsia="en-GB"/>
        </w:rPr>
      </w:pPr>
      <w:r w:rsidRPr="009C425E">
        <w:rPr>
          <w:rFonts w:eastAsia="Times New Roman" w:cstheme="minorBidi"/>
          <w:sz w:val="24"/>
          <w:szCs w:val="24"/>
          <w:lang w:eastAsia="en-GB"/>
        </w:rPr>
        <w:t xml:space="preserve">Strekkformblåst flaske – Bio-PET, Funzionano: 3x redusert OTR sammenliknet med PET </w:t>
      </w:r>
    </w:p>
    <w:p w:rsidR="009C425E" w:rsidRPr="009C425E" w:rsidRDefault="009C425E" w:rsidP="001F13A6">
      <w:pPr>
        <w:pStyle w:val="Listeavsnitt"/>
        <w:numPr>
          <w:ilvl w:val="0"/>
          <w:numId w:val="24"/>
        </w:numPr>
        <w:spacing w:after="0" w:line="360" w:lineRule="auto"/>
        <w:ind w:left="284" w:hanging="284"/>
        <w:contextualSpacing w:val="0"/>
        <w:rPr>
          <w:rFonts w:eastAsia="Times New Roman" w:cstheme="minorBidi"/>
          <w:sz w:val="24"/>
          <w:szCs w:val="24"/>
          <w:lang w:eastAsia="en-GB"/>
        </w:rPr>
      </w:pPr>
      <w:r w:rsidRPr="009C425E">
        <w:rPr>
          <w:rFonts w:eastAsia="Times New Roman" w:cstheme="minorBidi"/>
          <w:sz w:val="24"/>
          <w:szCs w:val="24"/>
          <w:lang w:eastAsia="en-GB"/>
        </w:rPr>
        <w:t xml:space="preserve">Sprøytestøpt krukke – PLA og MFC, Funzionano: 3x redusert OTR sammenliknet med PP </w:t>
      </w:r>
    </w:p>
    <w:p w:rsidR="009C425E" w:rsidRPr="009C425E" w:rsidRDefault="009C425E" w:rsidP="001F13A6">
      <w:pPr>
        <w:pStyle w:val="Listeavsnitt"/>
        <w:numPr>
          <w:ilvl w:val="0"/>
          <w:numId w:val="24"/>
        </w:numPr>
        <w:spacing w:after="200" w:line="360" w:lineRule="auto"/>
        <w:ind w:left="284" w:hanging="284"/>
        <w:contextualSpacing w:val="0"/>
        <w:rPr>
          <w:rFonts w:eastAsia="Times New Roman" w:cstheme="minorBidi"/>
          <w:sz w:val="24"/>
          <w:szCs w:val="24"/>
          <w:lang w:eastAsia="en-GB"/>
        </w:rPr>
      </w:pPr>
      <w:r w:rsidRPr="009C425E">
        <w:rPr>
          <w:rFonts w:eastAsia="Times New Roman" w:cstheme="minorBidi"/>
          <w:sz w:val="24"/>
          <w:szCs w:val="24"/>
          <w:lang w:eastAsia="en-GB"/>
        </w:rPr>
        <w:t>Blåst flerlagsfilm – PLA og MFC: 25 % redusert OTR sammenliknet med PLA.</w:t>
      </w:r>
    </w:p>
    <w:p w:rsidR="009C425E" w:rsidRPr="009C425E" w:rsidRDefault="009C425E" w:rsidP="001F13A6">
      <w:pPr>
        <w:spacing w:line="360" w:lineRule="auto"/>
        <w:rPr>
          <w:rFonts w:eastAsia="Times New Roman"/>
          <w:sz w:val="24"/>
          <w:szCs w:val="24"/>
          <w:lang w:eastAsia="en-GB"/>
        </w:rPr>
      </w:pPr>
      <w:r w:rsidRPr="009C425E">
        <w:rPr>
          <w:rFonts w:eastAsia="Times New Roman"/>
          <w:sz w:val="24"/>
          <w:szCs w:val="24"/>
          <w:lang w:eastAsia="en-GB"/>
        </w:rPr>
        <w:t>Helse- og miljøaspekter har blitt grundig evaluert. Alle materialer viser lav toksisitet, og signifikant reduksjon av CO</w:t>
      </w:r>
      <w:r w:rsidRPr="009C425E">
        <w:rPr>
          <w:rFonts w:eastAsia="Times New Roman"/>
          <w:sz w:val="24"/>
          <w:szCs w:val="24"/>
          <w:vertAlign w:val="subscript"/>
          <w:lang w:eastAsia="en-GB"/>
        </w:rPr>
        <w:t>2</w:t>
      </w:r>
      <w:r w:rsidRPr="009C425E">
        <w:rPr>
          <w:rFonts w:eastAsia="Times New Roman"/>
          <w:sz w:val="24"/>
          <w:szCs w:val="24"/>
          <w:lang w:eastAsia="en-GB"/>
        </w:rPr>
        <w:t>-fotavtrykk er oppnådd.</w:t>
      </w:r>
    </w:p>
    <w:p w:rsidR="00EA55C6" w:rsidRPr="009C425E" w:rsidRDefault="00EA55C6" w:rsidP="001F13A6">
      <w:pPr>
        <w:spacing w:line="360" w:lineRule="auto"/>
      </w:pPr>
    </w:p>
    <w:p w:rsidR="009C425E" w:rsidRPr="00AF5FBA" w:rsidRDefault="009C425E" w:rsidP="009C425E">
      <w:pPr>
        <w:pStyle w:val="Overskrift2"/>
        <w:rPr>
          <w:lang w:eastAsia="en-GB"/>
        </w:rPr>
      </w:pPr>
      <w:r w:rsidRPr="00AF5FBA">
        <w:rPr>
          <w:lang w:eastAsia="en-GB"/>
        </w:rPr>
        <w:t xml:space="preserve">BioPakk </w:t>
      </w:r>
    </w:p>
    <w:p w:rsidR="009C425E" w:rsidRPr="009C425E" w:rsidRDefault="009C425E" w:rsidP="001F13A6">
      <w:pPr>
        <w:spacing w:line="360" w:lineRule="auto"/>
        <w:rPr>
          <w:color w:val="000000" w:themeColor="text1"/>
          <w:sz w:val="24"/>
          <w:szCs w:val="24"/>
        </w:rPr>
      </w:pPr>
      <w:r w:rsidRPr="009C425E">
        <w:rPr>
          <w:color w:val="000000" w:themeColor="text1"/>
          <w:sz w:val="24"/>
          <w:szCs w:val="24"/>
        </w:rPr>
        <w:t xml:space="preserve">Etterspørselen fra forbrukere og samfunnet etter bærekraftige emballasjeløsninger er økende. Biopakk prosjektet som skal avsluttes i 2016 har som mål å utvikle nye materialer </w:t>
      </w:r>
      <w:r w:rsidRPr="009C425E">
        <w:rPr>
          <w:color w:val="000000" w:themeColor="text1"/>
          <w:sz w:val="24"/>
          <w:szCs w:val="24"/>
        </w:rPr>
        <w:lastRenderedPageBreak/>
        <w:t xml:space="preserve">av bioplast </w:t>
      </w:r>
      <w:r>
        <w:rPr>
          <w:color w:val="000000" w:themeColor="text1"/>
          <w:sz w:val="24"/>
          <w:szCs w:val="24"/>
        </w:rPr>
        <w:t>som også skal være gjenvinnbar </w:t>
      </w:r>
      <w:r w:rsidRPr="009C425E">
        <w:rPr>
          <w:color w:val="000000" w:themeColor="text1"/>
          <w:sz w:val="24"/>
          <w:szCs w:val="24"/>
        </w:rPr>
        <w:t xml:space="preserve">(bioplaster er plastmaterialer basert på ikke-fossile materialer). </w:t>
      </w:r>
    </w:p>
    <w:p w:rsidR="009C425E" w:rsidRPr="009C425E" w:rsidRDefault="009C425E" w:rsidP="001F13A6">
      <w:pPr>
        <w:spacing w:line="360" w:lineRule="auto"/>
        <w:rPr>
          <w:color w:val="000000" w:themeColor="text1"/>
          <w:sz w:val="24"/>
          <w:szCs w:val="24"/>
        </w:rPr>
      </w:pPr>
      <w:r w:rsidRPr="009C425E">
        <w:rPr>
          <w:color w:val="000000" w:themeColor="text1"/>
          <w:sz w:val="24"/>
          <w:szCs w:val="24"/>
        </w:rPr>
        <w:t xml:space="preserve">Den største utfordringen er å gi denne gjenvinnbare bioplasten egenskaper som gjør at den kan benyttes som matemballasje. Det betyr at den må få barriereegenskaper som gjør at den kan holde ute oksygen og vanndamp, noe som er krevende. Barriereegenskaper påvirker holdbarheten til maten, og har derfor stor betydning for matsvinn. </w:t>
      </w:r>
    </w:p>
    <w:p w:rsidR="009C425E" w:rsidRPr="009C425E" w:rsidRDefault="009C425E" w:rsidP="001F13A6">
      <w:pPr>
        <w:spacing w:line="360" w:lineRule="auto"/>
        <w:rPr>
          <w:color w:val="000000" w:themeColor="text1"/>
          <w:sz w:val="24"/>
          <w:szCs w:val="24"/>
        </w:rPr>
      </w:pPr>
      <w:r w:rsidRPr="009C425E">
        <w:rPr>
          <w:color w:val="000000" w:themeColor="text1"/>
          <w:sz w:val="24"/>
          <w:szCs w:val="24"/>
        </w:rPr>
        <w:t xml:space="preserve">Ambisjonen for prosjektet er derfor å finne miljøvennlige tilsettingsstoffer som forbedrer barriere-egenskapene til gjenvinnbar bioplast. SINTEFs hybridpolymerer (Funzionano </w:t>
      </w:r>
      <w:r w:rsidRPr="009C425E">
        <w:rPr>
          <w:color w:val="000000" w:themeColor="text1"/>
          <w:sz w:val="24"/>
          <w:szCs w:val="24"/>
          <w:vertAlign w:val="superscript"/>
        </w:rPr>
        <w:t>TM</w:t>
      </w:r>
      <w:r w:rsidRPr="009C425E">
        <w:rPr>
          <w:color w:val="000000" w:themeColor="text1"/>
          <w:sz w:val="24"/>
          <w:szCs w:val="24"/>
        </w:rPr>
        <w:t xml:space="preserve">) har blitt videreutviklet i prosjektet og viser lovende resultater. </w:t>
      </w:r>
    </w:p>
    <w:p w:rsidR="009C425E" w:rsidRPr="009C425E" w:rsidRDefault="009C425E" w:rsidP="001F13A6">
      <w:pPr>
        <w:spacing w:line="360" w:lineRule="auto"/>
        <w:rPr>
          <w:rFonts w:eastAsia="Times New Roman"/>
          <w:color w:val="000000" w:themeColor="text1"/>
          <w:sz w:val="24"/>
          <w:szCs w:val="24"/>
          <w:lang w:eastAsia="en-GB"/>
        </w:rPr>
      </w:pPr>
      <w:r w:rsidRPr="009C425E">
        <w:rPr>
          <w:color w:val="000000" w:themeColor="text1"/>
          <w:sz w:val="24"/>
          <w:szCs w:val="24"/>
        </w:rPr>
        <w:t>Prosjektet er et samarbeid med Tommen Gram Folie AS, Tine, Elopak, Norway Pelagic, Clariant, Billerud Korsnäs og SINTEF. Det har en ramme på 21 millioner kroner fordelt på fire år, finansiert gjennom Forskningsrådets BIA-program. (Brukerstyrt innovasjonsarena).</w:t>
      </w:r>
    </w:p>
    <w:p w:rsidR="00EA55C6" w:rsidRDefault="00EA55C6" w:rsidP="001F13A6">
      <w:pPr>
        <w:spacing w:line="360" w:lineRule="auto"/>
      </w:pPr>
    </w:p>
    <w:p w:rsidR="001F13A6" w:rsidRDefault="001F13A6" w:rsidP="001F13A6">
      <w:pPr>
        <w:spacing w:line="360" w:lineRule="auto"/>
      </w:pPr>
    </w:p>
    <w:p w:rsidR="001F13A6" w:rsidRPr="009C425E" w:rsidRDefault="001F13A6" w:rsidP="001F13A6">
      <w:pPr>
        <w:spacing w:line="360" w:lineRule="auto"/>
      </w:pPr>
    </w:p>
    <w:p w:rsidR="00541636" w:rsidRPr="009C425E" w:rsidRDefault="00541636" w:rsidP="00541636">
      <w:pPr>
        <w:tabs>
          <w:tab w:val="left" w:pos="1425"/>
        </w:tabs>
      </w:pPr>
      <w:r>
        <w:tab/>
      </w:r>
    </w:p>
    <w:p w:rsidR="00120818" w:rsidRPr="007B0B6B" w:rsidRDefault="00120818" w:rsidP="00120818">
      <w:pPr>
        <w:pStyle w:val="Overskrift2"/>
      </w:pPr>
      <w:r w:rsidRPr="007B0B6B">
        <w:t>KIM</w:t>
      </w:r>
    </w:p>
    <w:p w:rsidR="00120818" w:rsidRPr="00120818" w:rsidRDefault="00120818" w:rsidP="001F13A6">
      <w:pPr>
        <w:spacing w:line="360" w:lineRule="auto"/>
        <w:rPr>
          <w:sz w:val="24"/>
        </w:rPr>
      </w:pPr>
      <w:r w:rsidRPr="00120818">
        <w:rPr>
          <w:sz w:val="24"/>
        </w:rPr>
        <w:t>Kjemikalier i Matemballasje</w:t>
      </w:r>
      <w:r w:rsidR="00541636">
        <w:rPr>
          <w:sz w:val="24"/>
        </w:rPr>
        <w:t xml:space="preserve"> (KIM) er et tre-</w:t>
      </w:r>
      <w:r w:rsidRPr="00120818">
        <w:rPr>
          <w:sz w:val="24"/>
        </w:rPr>
        <w:t>årig prosjekt hvor målet er å gi forbedret mattrygghet gjennom økt kompetanse og kunnskap om hvilke kjemikalier som migrerer ut fra emballasjen og inn i maten og dermed kan utgjøre en potensiell helserisiko.</w:t>
      </w:r>
    </w:p>
    <w:p w:rsidR="00120818" w:rsidRPr="00120818" w:rsidRDefault="00120818" w:rsidP="001F13A6">
      <w:pPr>
        <w:spacing w:line="360" w:lineRule="auto"/>
        <w:rPr>
          <w:sz w:val="24"/>
        </w:rPr>
      </w:pPr>
      <w:r w:rsidRPr="00120818">
        <w:rPr>
          <w:sz w:val="24"/>
        </w:rPr>
        <w:t>Til dette trenges kartlegging og omfattende forskning for å etablere ny kompetanse og utvikle nye analysemetoder for kjemikalier i matvareemballasje. Prosjektet skal utvikle og etablere oversikt over kjemikalier brukt i emballasje, regelverk, stofflister og databaser. Samtidig skal vi etablere oversikt over stoffer og produkter med manglende regulering.</w:t>
      </w:r>
    </w:p>
    <w:p w:rsidR="00120818" w:rsidRPr="00120818" w:rsidRDefault="00120818" w:rsidP="001F13A6">
      <w:pPr>
        <w:spacing w:line="360" w:lineRule="auto"/>
        <w:rPr>
          <w:sz w:val="24"/>
        </w:rPr>
      </w:pPr>
      <w:r w:rsidRPr="00120818">
        <w:rPr>
          <w:sz w:val="24"/>
        </w:rPr>
        <w:t>Det er gjennomført kvantitativ bestemmelse av kjemikalier i ulike typer emballasje og ved migrasjonsanalyser med matsimulanter</w:t>
      </w:r>
      <w:r w:rsidR="001F13A6">
        <w:rPr>
          <w:sz w:val="24"/>
        </w:rPr>
        <w:t>. Vi har spesielt</w:t>
      </w:r>
      <w:r w:rsidRPr="00120818">
        <w:rPr>
          <w:sz w:val="24"/>
        </w:rPr>
        <w:t xml:space="preserve"> fokus på kjemikalier med regulerte grenseverdier som utgjør en potensiell helserisiko og å utvikle og implementere nye analysemetoder for relevante kjemikalier. </w:t>
      </w:r>
    </w:p>
    <w:p w:rsidR="00120818" w:rsidRPr="00120818" w:rsidRDefault="00120818" w:rsidP="001F13A6">
      <w:pPr>
        <w:spacing w:line="360" w:lineRule="auto"/>
        <w:rPr>
          <w:sz w:val="24"/>
        </w:rPr>
      </w:pPr>
      <w:r w:rsidRPr="00120818">
        <w:rPr>
          <w:sz w:val="24"/>
        </w:rPr>
        <w:lastRenderedPageBreak/>
        <w:t>Et viktig tema er studier for å forstå hvordan kjemikalier aldres og degraderes over tid, og om hvordan degraderingsproduktene migrerer og gir utilsiktede stoffer i maten med potensiell helserisiko.</w:t>
      </w:r>
    </w:p>
    <w:p w:rsidR="00120818" w:rsidRPr="00120818" w:rsidRDefault="00120818" w:rsidP="001F13A6">
      <w:pPr>
        <w:spacing w:line="360" w:lineRule="auto"/>
        <w:rPr>
          <w:sz w:val="24"/>
        </w:rPr>
      </w:pPr>
      <w:r w:rsidRPr="00120818">
        <w:rPr>
          <w:sz w:val="24"/>
        </w:rPr>
        <w:t xml:space="preserve">Resultatene av prosjektet vil bevisstgjøre og øke kompetansenivået i alle ledd av matverdikjeden og bidra til at prosjektdeltagerne er føre var og lettere kan oppfylle forbrukernes nåværende og stadig økende krav. </w:t>
      </w:r>
    </w:p>
    <w:p w:rsidR="00120818" w:rsidRPr="00120818" w:rsidRDefault="00120818" w:rsidP="001F13A6">
      <w:pPr>
        <w:spacing w:line="360" w:lineRule="auto"/>
        <w:rPr>
          <w:sz w:val="24"/>
        </w:rPr>
      </w:pPr>
      <w:r w:rsidRPr="00120818">
        <w:rPr>
          <w:sz w:val="24"/>
        </w:rPr>
        <w:t>Prosjektet er et samarbeid mellom Norner, Nofima, Elopak, Bama, Bergen Plastics, Mills, Nortura, Rema, Tine, Tommen Gram og Unil.</w:t>
      </w:r>
    </w:p>
    <w:p w:rsidR="00120818" w:rsidRPr="007B0B6B" w:rsidRDefault="00120818" w:rsidP="00120818">
      <w:pPr>
        <w:rPr>
          <w:sz w:val="22"/>
        </w:rPr>
      </w:pPr>
    </w:p>
    <w:p w:rsidR="00120818" w:rsidRPr="007B0B6B" w:rsidRDefault="00120818" w:rsidP="00120818">
      <w:pPr>
        <w:pStyle w:val="Overskrift2"/>
      </w:pPr>
      <w:r w:rsidRPr="007B0B6B">
        <w:t>GrøntPakk</w:t>
      </w:r>
    </w:p>
    <w:p w:rsidR="00120818" w:rsidRPr="00120818" w:rsidRDefault="00120818" w:rsidP="001F13A6">
      <w:pPr>
        <w:spacing w:line="360" w:lineRule="auto"/>
        <w:rPr>
          <w:sz w:val="24"/>
        </w:rPr>
      </w:pPr>
      <w:r w:rsidRPr="00120818">
        <w:rPr>
          <w:sz w:val="24"/>
        </w:rPr>
        <w:t>I prosjektet «GrøntPakk, fra jord til bord – mer grønsaker med mindre emballasje» var målsetningene</w:t>
      </w:r>
    </w:p>
    <w:p w:rsidR="00120818" w:rsidRPr="00120818" w:rsidRDefault="00D91A30" w:rsidP="001F13A6">
      <w:pPr>
        <w:pStyle w:val="Listeavsnitt"/>
        <w:numPr>
          <w:ilvl w:val="0"/>
          <w:numId w:val="25"/>
        </w:numPr>
        <w:spacing w:after="160" w:line="360" w:lineRule="auto"/>
        <w:rPr>
          <w:sz w:val="24"/>
        </w:rPr>
      </w:pPr>
      <w:r>
        <w:rPr>
          <w:sz w:val="24"/>
        </w:rPr>
        <w:t>å utvikle en alternativ</w:t>
      </w:r>
      <w:r w:rsidR="00120818" w:rsidRPr="00120818">
        <w:rPr>
          <w:sz w:val="24"/>
        </w:rPr>
        <w:t xml:space="preserve"> pakkefolie som var bedre egnet til å oppbevare grønsakene i</w:t>
      </w:r>
    </w:p>
    <w:p w:rsidR="00120818" w:rsidRPr="00120818" w:rsidRDefault="00120818" w:rsidP="001F13A6">
      <w:pPr>
        <w:pStyle w:val="Listeavsnitt"/>
        <w:numPr>
          <w:ilvl w:val="0"/>
          <w:numId w:val="25"/>
        </w:numPr>
        <w:spacing w:after="160" w:line="360" w:lineRule="auto"/>
        <w:rPr>
          <w:sz w:val="24"/>
        </w:rPr>
      </w:pPr>
      <w:r w:rsidRPr="00120818">
        <w:rPr>
          <w:sz w:val="24"/>
        </w:rPr>
        <w:t>å utvikle optimal perforering av folien for grønnsakene ved å ta hensyn til deres respirasjon</w:t>
      </w:r>
    </w:p>
    <w:p w:rsidR="00120818" w:rsidRPr="00120818" w:rsidRDefault="00120818" w:rsidP="001F13A6">
      <w:pPr>
        <w:pStyle w:val="Listeavsnitt"/>
        <w:numPr>
          <w:ilvl w:val="0"/>
          <w:numId w:val="25"/>
        </w:numPr>
        <w:spacing w:after="160" w:line="360" w:lineRule="auto"/>
        <w:rPr>
          <w:sz w:val="24"/>
        </w:rPr>
      </w:pPr>
      <w:r w:rsidRPr="00120818">
        <w:rPr>
          <w:sz w:val="24"/>
        </w:rPr>
        <w:t>å gjennomføre forbrukerundersøkelser</w:t>
      </w:r>
    </w:p>
    <w:p w:rsidR="00120818" w:rsidRPr="00120818" w:rsidRDefault="00120818" w:rsidP="001F13A6">
      <w:pPr>
        <w:spacing w:line="360" w:lineRule="auto"/>
        <w:rPr>
          <w:sz w:val="24"/>
        </w:rPr>
      </w:pPr>
      <w:r w:rsidRPr="00120818">
        <w:rPr>
          <w:color w:val="292929"/>
          <w:sz w:val="24"/>
          <w:shd w:val="clear" w:color="auto" w:fill="FFFFFF"/>
        </w:rPr>
        <w:t xml:space="preserve">Gulrot og løk utgjorde 38 prosent av norsk grønnsakproduksjon i 2011. Tiltak som gjør at det går med mindre plast i </w:t>
      </w:r>
      <w:r w:rsidRPr="00120818">
        <w:rPr>
          <w:color w:val="292929"/>
          <w:sz w:val="24"/>
          <w:shd w:val="clear" w:color="auto" w:fill="FFFFFF"/>
        </w:rPr>
        <w:lastRenderedPageBreak/>
        <w:t>pakkingen og blir mindre matavfall, har med andre ord en vesentlig miljøgevinst. Svinn hos forbruker er i størrelsesorden 10% som følge av uttørking, mugg og råte ifølge studier ved Østfoldforskning.</w:t>
      </w:r>
    </w:p>
    <w:p w:rsidR="00541636" w:rsidRDefault="00541636" w:rsidP="001F13A6">
      <w:pPr>
        <w:spacing w:line="360" w:lineRule="auto"/>
        <w:rPr>
          <w:color w:val="292929"/>
          <w:sz w:val="24"/>
          <w:shd w:val="clear" w:color="auto" w:fill="FFFFFF"/>
        </w:rPr>
      </w:pPr>
    </w:p>
    <w:p w:rsidR="00120818" w:rsidRPr="00120818" w:rsidRDefault="00120818" w:rsidP="001F13A6">
      <w:pPr>
        <w:spacing w:line="360" w:lineRule="auto"/>
        <w:rPr>
          <w:color w:val="292929"/>
          <w:sz w:val="24"/>
          <w:shd w:val="clear" w:color="auto" w:fill="FFFFFF"/>
        </w:rPr>
      </w:pPr>
      <w:r w:rsidRPr="00120818">
        <w:rPr>
          <w:color w:val="292929"/>
          <w:sz w:val="24"/>
          <w:shd w:val="clear" w:color="auto" w:fill="FFFFFF"/>
        </w:rPr>
        <w:t>Norner utviklet en ny pakkefolie av PE basert på ny teknologi for orientering som har gitt en film med tilsvarende stivhet og transparens som dagens OPP folie men med vesentlig forbedret rivemotstand som også gjør den egnet til oppbevaring hos forbruker. Folien er demonstrert i flere pakkeforsøk og den viser seg også å ha et potensiale for høyere pakkehastigheter.</w:t>
      </w:r>
    </w:p>
    <w:p w:rsidR="00120818" w:rsidRPr="00120818" w:rsidRDefault="00120818" w:rsidP="001F13A6">
      <w:pPr>
        <w:spacing w:line="360" w:lineRule="auto"/>
        <w:rPr>
          <w:color w:val="292929"/>
          <w:sz w:val="24"/>
          <w:shd w:val="clear" w:color="auto" w:fill="FFFFFF"/>
        </w:rPr>
      </w:pPr>
      <w:r w:rsidRPr="00120818">
        <w:rPr>
          <w:color w:val="292929"/>
          <w:sz w:val="24"/>
          <w:shd w:val="clear" w:color="auto" w:fill="FFFFFF"/>
        </w:rPr>
        <w:t xml:space="preserve">Nofima har gjennom sine studier funnet at foliene som har vært brukt tidligere har gitt for dårlig respirasjon for gulrøtter. Ny kunnskap og teknologi har blitt etablert for å forbedre dette som gir lengre holdbarhet for gulrøtter i pose. Dette fører videre til mindre svinn. </w:t>
      </w:r>
    </w:p>
    <w:p w:rsidR="00EA55C6" w:rsidRDefault="00120818" w:rsidP="00541636">
      <w:pPr>
        <w:spacing w:line="360" w:lineRule="auto"/>
        <w:rPr>
          <w:sz w:val="24"/>
        </w:rPr>
      </w:pPr>
      <w:r w:rsidRPr="00120818">
        <w:rPr>
          <w:sz w:val="24"/>
        </w:rPr>
        <w:t>Norner var prosjektleder mens Lågen Gulrot eide prosjektet. Andre deltakere var Larvik Løk, Lågen Potetpakkeri, Trøndergrønt, Tommen Gram, Total Petrochemicals, Bama, Gartnerhallen, Nofima og Østfoldforskning.</w:t>
      </w:r>
    </w:p>
    <w:p w:rsidR="00D91A30" w:rsidRDefault="00D91A30" w:rsidP="00030A34">
      <w:pPr>
        <w:rPr>
          <w:sz w:val="24"/>
        </w:rPr>
      </w:pPr>
    </w:p>
    <w:p w:rsidR="00D91A30" w:rsidRPr="008A1D5C" w:rsidRDefault="00D91A30" w:rsidP="00D91A30">
      <w:pPr>
        <w:pStyle w:val="Overskrift2"/>
      </w:pPr>
      <w:r w:rsidRPr="008A1D5C">
        <w:t xml:space="preserve">Utvikling av høykvalitets lakseprodukter </w:t>
      </w:r>
    </w:p>
    <w:p w:rsidR="00D91A30" w:rsidRPr="00D91A30" w:rsidRDefault="00D91A30" w:rsidP="001F13A6">
      <w:pPr>
        <w:spacing w:line="360" w:lineRule="auto"/>
        <w:rPr>
          <w:sz w:val="24"/>
          <w:szCs w:val="24"/>
        </w:rPr>
      </w:pPr>
      <w:r w:rsidRPr="00D91A30">
        <w:rPr>
          <w:sz w:val="24"/>
          <w:szCs w:val="24"/>
        </w:rPr>
        <w:t xml:space="preserve">Norsk produksjon av oppdrettsfisk hadde i 2011 rekordomsetning og Norge eksporterte laks tilsvarende 7-8 millioner porsjoner hver dag. Det meste av denne produksjonen ble eksportert med relativ lav bearbeidingsgrad.  Det var et uttrykt behov knyttet til forskning og utvikling innen emballerings- og distribusjons-løsninger som oppfyller krav gjennom hele distribusjonskjeden fra slakteri/fileteringsanlegg og frem til forbruker. Prosjektet Utvikling av høykvalitets lakseprodukter ble startet opp i høsten 2012 med Salmar som prosjekteier og Forskningsrådet som offentlig finansiør. Nofima har vært faglig ansvarlig og øvrige samarbeidspartnere har vært Tommen Gram og Multivac. </w:t>
      </w:r>
    </w:p>
    <w:p w:rsidR="00D91A30" w:rsidRPr="00D91A30" w:rsidRDefault="00D91A30" w:rsidP="001F13A6">
      <w:pPr>
        <w:spacing w:line="360" w:lineRule="auto"/>
        <w:rPr>
          <w:sz w:val="24"/>
          <w:szCs w:val="24"/>
        </w:rPr>
      </w:pPr>
      <w:r w:rsidRPr="00D91A30">
        <w:rPr>
          <w:sz w:val="24"/>
          <w:szCs w:val="24"/>
        </w:rPr>
        <w:t>Prosjektets mål er å oppnå bedre utnyttelse av råstoff ved å sikre jevn og forutsigbar produktkvalitet og forlenget holdbarhet. Dette skulle oppnås ved å ta i bruk og tilpasse ny teknologi og analysemuligheter; produkttilpasset emballering og detektering av «problembakterier» for optimalisering av kvalitet og forlenget holdbarhet av pre-rigor filetert laks.</w:t>
      </w:r>
    </w:p>
    <w:p w:rsidR="00D91A30" w:rsidRPr="00D91A30" w:rsidRDefault="00D91A30" w:rsidP="001F13A6">
      <w:pPr>
        <w:pStyle w:val="Default"/>
        <w:spacing w:line="360" w:lineRule="auto"/>
      </w:pPr>
      <w:r w:rsidRPr="00D91A30">
        <w:lastRenderedPageBreak/>
        <w:t xml:space="preserve">Resultater som er oppnådd i prosjektet har bidratt til å sikre jevn og stabil kvalitet av lakseprodukter samt øke holdbarheten av spesifikke produkter med opptil 4 dager.  </w:t>
      </w:r>
    </w:p>
    <w:p w:rsidR="00D91A30" w:rsidRPr="00D91A30" w:rsidRDefault="00D91A30" w:rsidP="001F13A6">
      <w:pPr>
        <w:spacing w:line="360" w:lineRule="auto"/>
        <w:rPr>
          <w:sz w:val="24"/>
          <w:szCs w:val="24"/>
        </w:rPr>
      </w:pPr>
      <w:r w:rsidRPr="00D91A30">
        <w:rPr>
          <w:sz w:val="24"/>
          <w:szCs w:val="24"/>
        </w:rPr>
        <w:t>Det var et mål for SalMar å øke andel filet med 10 % som følge av prosjektet. I løpet av prosjektets periode har andelen av pre-rigor filet økt fra ca. 15% ved prosjektets start til ca. 30% ved prosjektets slutt. Dette bidrar til verdiskaping både hos emballasjebruker og leverandør. Et annet resultat er bedre utnyttelse av restråstoffet.</w:t>
      </w:r>
    </w:p>
    <w:p w:rsidR="00D91A30" w:rsidRDefault="00D91A30" w:rsidP="00D91A30">
      <w:pPr>
        <w:rPr>
          <w:sz w:val="24"/>
          <w:szCs w:val="24"/>
        </w:rPr>
      </w:pPr>
    </w:p>
    <w:p w:rsidR="00BF62E2" w:rsidRDefault="00BF62E2" w:rsidP="00D91A30">
      <w:pPr>
        <w:rPr>
          <w:sz w:val="24"/>
          <w:szCs w:val="24"/>
        </w:rPr>
      </w:pPr>
    </w:p>
    <w:p w:rsidR="001F13A6" w:rsidRPr="00D91A30" w:rsidRDefault="001F13A6" w:rsidP="00D91A30">
      <w:pPr>
        <w:rPr>
          <w:sz w:val="24"/>
          <w:szCs w:val="24"/>
        </w:rPr>
      </w:pPr>
    </w:p>
    <w:p w:rsidR="00D91A30" w:rsidRDefault="00D91A30" w:rsidP="00D91A30">
      <w:pPr>
        <w:rPr>
          <w:sz w:val="24"/>
          <w:szCs w:val="24"/>
        </w:rPr>
      </w:pPr>
      <w:r w:rsidRPr="00D91A30">
        <w:rPr>
          <w:rStyle w:val="Overskrift2Tegn"/>
        </w:rPr>
        <w:t>Riktig emballering for redusert matsvinn (REforReM)</w:t>
      </w:r>
      <w:r w:rsidRPr="00D91A30">
        <w:rPr>
          <w:sz w:val="24"/>
          <w:szCs w:val="24"/>
        </w:rPr>
        <w:t xml:space="preserve"> </w:t>
      </w:r>
    </w:p>
    <w:p w:rsidR="00D91A30" w:rsidRPr="00D91A30" w:rsidRDefault="00D91A30" w:rsidP="001F13A6">
      <w:pPr>
        <w:spacing w:line="360" w:lineRule="auto"/>
        <w:rPr>
          <w:sz w:val="24"/>
          <w:szCs w:val="24"/>
        </w:rPr>
      </w:pPr>
      <w:r>
        <w:rPr>
          <w:sz w:val="24"/>
          <w:szCs w:val="24"/>
        </w:rPr>
        <w:t xml:space="preserve">Prosjektet </w:t>
      </w:r>
      <w:r w:rsidRPr="00D91A30">
        <w:rPr>
          <w:sz w:val="24"/>
          <w:szCs w:val="24"/>
        </w:rPr>
        <w:t>startet opp 1. jan</w:t>
      </w:r>
      <w:r>
        <w:rPr>
          <w:sz w:val="24"/>
          <w:szCs w:val="24"/>
        </w:rPr>
        <w:t>uar</w:t>
      </w:r>
      <w:r w:rsidRPr="00D91A30">
        <w:rPr>
          <w:sz w:val="24"/>
          <w:szCs w:val="24"/>
        </w:rPr>
        <w:t xml:space="preserve"> 2016 med offentlig finansiering fra Forskningsrådet.</w:t>
      </w:r>
    </w:p>
    <w:p w:rsidR="00D91A30" w:rsidRPr="00D91A30" w:rsidRDefault="00D91A30" w:rsidP="001F13A6">
      <w:pPr>
        <w:spacing w:line="360" w:lineRule="auto"/>
        <w:rPr>
          <w:sz w:val="24"/>
          <w:szCs w:val="24"/>
        </w:rPr>
      </w:pPr>
      <w:r w:rsidRPr="00D91A30">
        <w:rPr>
          <w:rFonts w:hint="eastAsia"/>
          <w:sz w:val="24"/>
          <w:szCs w:val="24"/>
        </w:rPr>
        <w:t>Å</w:t>
      </w:r>
      <w:r w:rsidRPr="00D91A30">
        <w:rPr>
          <w:sz w:val="24"/>
          <w:szCs w:val="24"/>
        </w:rPr>
        <w:t xml:space="preserve"> produsere mat som i neste omgang kastes er langt mer skadelig for miljøet enn det å bruke mer emballasje enn hva mange forbrukere kanskje mener er nødvendig. Emballasjen beskytter og bevarer maten. </w:t>
      </w:r>
    </w:p>
    <w:p w:rsidR="00D91A30" w:rsidRPr="00D91A30" w:rsidRDefault="00D91A30" w:rsidP="001F13A6">
      <w:pPr>
        <w:spacing w:line="360" w:lineRule="auto"/>
        <w:rPr>
          <w:sz w:val="24"/>
          <w:szCs w:val="24"/>
        </w:rPr>
      </w:pPr>
      <w:r w:rsidRPr="00D91A30">
        <w:rPr>
          <w:sz w:val="24"/>
          <w:szCs w:val="24"/>
        </w:rPr>
        <w:t>Ulike matvarer trenger ulik emballasje. Dette prosjektet tar utgangspunkt i aktuelle matvarer for å finne de beste em</w:t>
      </w:r>
      <w:r w:rsidRPr="00D91A30">
        <w:rPr>
          <w:sz w:val="24"/>
          <w:szCs w:val="24"/>
        </w:rPr>
        <w:lastRenderedPageBreak/>
        <w:t>balleringsløsningene. Grønnsaker, kjøttprodukter og fiskeprodukter er blant matvarene det skal jobbes med. Målet er at et par år frem i tid skal hver og en av oss kaste mindre mat, fordi de nyutviklede emballeringsteknologiene øker holdbarheten og forbedrer produktkvaliteten. Prosjektet er delt inn i fire arbeidspakker: 1. Emballeringsteknologier for økt produktkvalitet og optimal holdbarhet, 2. Forbrukertilpasset emballering, 3. Miljø- og ressursdokumentasjon av nye løsninger, 4. Kommunikasjon og formidling</w:t>
      </w:r>
    </w:p>
    <w:p w:rsidR="00D91A30" w:rsidRPr="00D91A30" w:rsidRDefault="00D91A30" w:rsidP="001F13A6">
      <w:pPr>
        <w:spacing w:line="360" w:lineRule="auto"/>
        <w:rPr>
          <w:sz w:val="24"/>
          <w:szCs w:val="24"/>
        </w:rPr>
      </w:pPr>
      <w:r w:rsidRPr="00D91A30">
        <w:rPr>
          <w:sz w:val="24"/>
          <w:szCs w:val="24"/>
        </w:rPr>
        <w:t xml:space="preserve">Prosjektet ledes av BAMA. Øvrige produsentdeltakere er Grilstad, Hallvard Lerøy, Lauvsnes Gartneri, Tommen Gram, Promens (kommende RPC packaging), BWL Maskin og Lexit. I tillegg til Nofima deltar også Østfoldforskning som forskningspartner, og Matvett. </w:t>
      </w:r>
    </w:p>
    <w:p w:rsidR="00D91A30" w:rsidRPr="00D91A30" w:rsidRDefault="00D91A30" w:rsidP="001F13A6">
      <w:pPr>
        <w:spacing w:line="360" w:lineRule="auto"/>
        <w:rPr>
          <w:sz w:val="24"/>
          <w:szCs w:val="24"/>
        </w:rPr>
      </w:pPr>
    </w:p>
    <w:p w:rsidR="00541636" w:rsidRPr="00541636" w:rsidRDefault="00541636" w:rsidP="00541636">
      <w:pPr>
        <w:spacing w:line="360" w:lineRule="auto"/>
        <w:rPr>
          <w:sz w:val="24"/>
          <w:szCs w:val="24"/>
        </w:rPr>
      </w:pPr>
      <w:r w:rsidRPr="00541636">
        <w:rPr>
          <w:rStyle w:val="Overskrift2Tegn"/>
        </w:rPr>
        <w:t xml:space="preserve">Teknofrukt </w:t>
      </w:r>
      <w:r w:rsidRPr="00541636">
        <w:rPr>
          <w:rStyle w:val="Overskrift2Tegn"/>
        </w:rPr>
        <w:br/>
      </w:r>
      <w:r w:rsidRPr="00541636">
        <w:rPr>
          <w:sz w:val="24"/>
          <w:szCs w:val="24"/>
        </w:rPr>
        <w:t>Nye lagrings- og pakketeknologier for forlenget salgssesong og bevaring av høy kvalitet på norskprodusert frukt</w:t>
      </w:r>
    </w:p>
    <w:p w:rsidR="00541636" w:rsidRPr="00541636" w:rsidRDefault="00541636" w:rsidP="00541636">
      <w:pPr>
        <w:spacing w:after="0" w:line="360" w:lineRule="auto"/>
        <w:rPr>
          <w:sz w:val="24"/>
          <w:szCs w:val="24"/>
        </w:rPr>
      </w:pPr>
      <w:r w:rsidRPr="00541636">
        <w:rPr>
          <w:color w:val="000000"/>
          <w:sz w:val="24"/>
          <w:szCs w:val="24"/>
        </w:rPr>
        <w:t xml:space="preserve">Forbruket av frukt og bær har økt kraftig de siste årene og undersøkelser viser at forbrukerne ønsker mer norskprodusert vare. </w:t>
      </w:r>
      <w:r w:rsidRPr="00541636">
        <w:rPr>
          <w:sz w:val="24"/>
          <w:szCs w:val="24"/>
        </w:rPr>
        <w:t xml:space="preserve">Fruktpakkeriene har allerede i dag utfordringer med arbeidstopper i produksjonen, og har ikke nødvendig </w:t>
      </w:r>
      <w:r w:rsidRPr="00541636">
        <w:rPr>
          <w:sz w:val="24"/>
          <w:szCs w:val="24"/>
        </w:rPr>
        <w:lastRenderedPageBreak/>
        <w:t>kapasitet og teknologi til å håndtere den planlagte doblingen i fruktproduksjonen innen 2020. Det er et behov for mer kunnskap om teknologiske løsninger som kan redusere arbeidstoppene på pakkeriene og forlenge salgssesongen. Det er videre behov for mer kunnskap om egnede emballasjeløsninger til norsk frukt for å øke verdiskapingspotensialet og redusere matsvinn i distribusjonskjeden fra pakking fram til forbruker.</w:t>
      </w:r>
    </w:p>
    <w:p w:rsidR="00541636" w:rsidRDefault="00541636" w:rsidP="00541636">
      <w:pPr>
        <w:spacing w:after="0" w:line="360" w:lineRule="auto"/>
        <w:rPr>
          <w:rFonts w:ascii="Tw Cen MT" w:hAnsi="Tw Cen MT"/>
          <w:sz w:val="24"/>
          <w:szCs w:val="24"/>
        </w:rPr>
      </w:pPr>
      <w:r w:rsidRPr="00541636">
        <w:rPr>
          <w:sz w:val="24"/>
          <w:szCs w:val="24"/>
        </w:rPr>
        <w:t>Prosjektet Teknofrukt har som mål å teste nye lagrings- og emballeringsteknologier tilpasset norske fruktsorter og produksjonsforhold. Prosjektet skal også teste og utvikle egnede ikke-destruktive måleteknikker til å følge produktkvaliteten i produktene fra høstetidspunkt fram til forbruker. Verdikjedeøkonomi og miljøbelastning blir analysert for å gi input til design av nye løsninger og å</w:t>
      </w:r>
      <w:r w:rsidRPr="00C3263B">
        <w:rPr>
          <w:rFonts w:ascii="Tw Cen MT" w:hAnsi="Tw Cen MT"/>
          <w:sz w:val="24"/>
          <w:szCs w:val="24"/>
        </w:rPr>
        <w:t xml:space="preserve"> </w:t>
      </w:r>
    </w:p>
    <w:p w:rsidR="00541636" w:rsidRDefault="00541636" w:rsidP="00541636">
      <w:pPr>
        <w:spacing w:after="0" w:line="360" w:lineRule="auto"/>
        <w:rPr>
          <w:rFonts w:ascii="Tw Cen MT" w:hAnsi="Tw Cen MT"/>
          <w:sz w:val="24"/>
          <w:szCs w:val="24"/>
        </w:rPr>
      </w:pPr>
    </w:p>
    <w:p w:rsidR="00541636" w:rsidRDefault="00541636" w:rsidP="00541636">
      <w:pPr>
        <w:spacing w:after="0" w:line="360" w:lineRule="auto"/>
        <w:rPr>
          <w:rFonts w:ascii="Tw Cen MT" w:hAnsi="Tw Cen MT"/>
          <w:sz w:val="24"/>
          <w:szCs w:val="24"/>
        </w:rPr>
      </w:pPr>
    </w:p>
    <w:p w:rsidR="00541636" w:rsidRPr="00541636" w:rsidRDefault="00541636" w:rsidP="00541636">
      <w:pPr>
        <w:spacing w:after="0" w:line="360" w:lineRule="auto"/>
        <w:rPr>
          <w:sz w:val="24"/>
          <w:szCs w:val="24"/>
        </w:rPr>
      </w:pPr>
      <w:r w:rsidRPr="00541636">
        <w:rPr>
          <w:sz w:val="24"/>
          <w:szCs w:val="24"/>
        </w:rPr>
        <w:t>dokumentere endringer av løsninger som blir utviklet. Prosjektet har kommet godt i gang og en rekke analyser er gjennomført for både epler, plommer og moreller.  </w:t>
      </w:r>
    </w:p>
    <w:p w:rsidR="00541636" w:rsidRPr="00541636" w:rsidRDefault="00541636" w:rsidP="00541636">
      <w:pPr>
        <w:spacing w:after="0" w:line="360" w:lineRule="auto"/>
        <w:rPr>
          <w:sz w:val="24"/>
          <w:szCs w:val="24"/>
        </w:rPr>
      </w:pPr>
      <w:r w:rsidRPr="00541636">
        <w:rPr>
          <w:sz w:val="24"/>
          <w:szCs w:val="24"/>
        </w:rPr>
        <w:t xml:space="preserve">Prosjektet er et samarbeid mellom Hardanger Fjordfrukt, Ullensvang Fruktlager, Nå Fruktlager, Lærdal Grønt, Sognefrukt, Innvik Fruktlager, Fellespakkeriet, Cranfield University, Sveriges Landbruksuniversitet, Norgro, Nofima, NIBIO og </w:t>
      </w:r>
      <w:r w:rsidRPr="00541636">
        <w:rPr>
          <w:sz w:val="24"/>
          <w:szCs w:val="24"/>
        </w:rPr>
        <w:lastRenderedPageBreak/>
        <w:t>Østfoldforskning. Det har en ramme på 12,9 millioner kroner fordelt på fire år, finansiert gjennom Forskningsrådets FFL/JA-program.</w:t>
      </w:r>
    </w:p>
    <w:p w:rsidR="00D91A30" w:rsidRDefault="00D91A30" w:rsidP="001F13A6">
      <w:pPr>
        <w:spacing w:line="360" w:lineRule="auto"/>
        <w:rPr>
          <w:sz w:val="24"/>
          <w:szCs w:val="24"/>
        </w:rPr>
      </w:pPr>
    </w:p>
    <w:p w:rsidR="00A13428" w:rsidRDefault="00A13428" w:rsidP="00A13428">
      <w:pPr>
        <w:pStyle w:val="Overskrift2"/>
        <w:rPr>
          <w:lang w:eastAsia="en-GB"/>
        </w:rPr>
      </w:pPr>
      <w:r>
        <w:rPr>
          <w:lang w:eastAsia="en-GB"/>
        </w:rPr>
        <w:t>Breadpack</w:t>
      </w:r>
    </w:p>
    <w:p w:rsidR="00A13428" w:rsidRPr="00A13428" w:rsidRDefault="00A13428" w:rsidP="00A13428">
      <w:pPr>
        <w:keepNext/>
        <w:spacing w:before="240" w:after="60" w:line="360" w:lineRule="auto"/>
        <w:jc w:val="both"/>
        <w:outlineLvl w:val="1"/>
        <w:rPr>
          <w:rFonts w:eastAsia="Times New Roman" w:cs="Arial"/>
          <w:b/>
          <w:bCs/>
          <w:i/>
          <w:iCs/>
          <w:color w:val="000000" w:themeColor="text1"/>
          <w:sz w:val="28"/>
          <w:szCs w:val="28"/>
          <w:lang w:eastAsia="en-GB"/>
        </w:rPr>
      </w:pPr>
      <w:r w:rsidRPr="00A13428">
        <w:rPr>
          <w:rFonts w:eastAsia="Times New Roman" w:cs="Arial"/>
          <w:bCs/>
          <w:iCs/>
          <w:color w:val="000000" w:themeColor="text1"/>
          <w:sz w:val="24"/>
          <w:szCs w:val="28"/>
          <w:lang w:eastAsia="en-GB"/>
        </w:rPr>
        <w:t>Nye fiberbaserte emballasjeløsninger for ferske bakervarer</w:t>
      </w:r>
    </w:p>
    <w:p w:rsidR="00A13428" w:rsidRPr="00A13428" w:rsidRDefault="00A13428" w:rsidP="00A13428">
      <w:pPr>
        <w:spacing w:line="360" w:lineRule="auto"/>
        <w:rPr>
          <w:color w:val="000000" w:themeColor="text1"/>
          <w:sz w:val="24"/>
          <w:szCs w:val="24"/>
        </w:rPr>
      </w:pPr>
      <w:r w:rsidRPr="00A13428">
        <w:rPr>
          <w:color w:val="000000" w:themeColor="text1"/>
          <w:sz w:val="24"/>
          <w:szCs w:val="24"/>
        </w:rPr>
        <w:t xml:space="preserve">Undersøkelser viser at brød og bakervarer er en av kategoriene hvor svinnet er høyest, både i produksjon, butikk og hos forbruker. </w:t>
      </w:r>
    </w:p>
    <w:p w:rsidR="00A13428" w:rsidRPr="00A13428" w:rsidRDefault="00A13428" w:rsidP="00A13428">
      <w:pPr>
        <w:spacing w:line="360" w:lineRule="auto"/>
        <w:rPr>
          <w:color w:val="000000" w:themeColor="text1"/>
          <w:sz w:val="24"/>
          <w:szCs w:val="24"/>
        </w:rPr>
      </w:pPr>
      <w:r w:rsidRPr="00A13428">
        <w:rPr>
          <w:color w:val="000000" w:themeColor="text1"/>
          <w:sz w:val="24"/>
          <w:szCs w:val="24"/>
        </w:rPr>
        <w:t>Breadpack prosjektet som skal avsluttes i 2016 har som mål å utvikle nye fiberbaserte emballasjeløsninger og prosess- og produktforbedringer for ferske brød, som vil bidra til å sikre tilstrekkelig kvalitet og samtidig øke holdbarheten for bakervarene med 1-2 døgn.</w:t>
      </w:r>
    </w:p>
    <w:p w:rsidR="00A13428" w:rsidRPr="00A13428" w:rsidRDefault="00A13428" w:rsidP="00A13428">
      <w:pPr>
        <w:spacing w:line="360" w:lineRule="auto"/>
        <w:rPr>
          <w:color w:val="000000" w:themeColor="text1"/>
          <w:sz w:val="24"/>
          <w:szCs w:val="24"/>
        </w:rPr>
      </w:pPr>
      <w:r w:rsidRPr="00A13428">
        <w:rPr>
          <w:color w:val="000000" w:themeColor="text1"/>
          <w:sz w:val="24"/>
          <w:szCs w:val="24"/>
        </w:rPr>
        <w:t xml:space="preserve">Den største utfordringen i dette prosjektet har vært å utvikle en emballasje som både slipper ut store mengder vanndamp i timene etter baking, men som holder godt på fuktigheten når brødet er i butikk og hos forbruker.  </w:t>
      </w:r>
    </w:p>
    <w:p w:rsidR="00A13428" w:rsidRPr="00A13428" w:rsidRDefault="00A13428" w:rsidP="00A13428">
      <w:pPr>
        <w:spacing w:line="360" w:lineRule="auto"/>
        <w:rPr>
          <w:color w:val="000000" w:themeColor="text1"/>
          <w:sz w:val="24"/>
          <w:szCs w:val="24"/>
        </w:rPr>
      </w:pPr>
      <w:r w:rsidRPr="00A13428">
        <w:rPr>
          <w:color w:val="000000" w:themeColor="text1"/>
          <w:sz w:val="24"/>
          <w:szCs w:val="24"/>
        </w:rPr>
        <w:t>Undersøkelser viser at uttørking av brød er en vesentlig årsak til svinn og at mange forbrukere bruker ekstra emballasje for å forhindre slik uttørking.</w:t>
      </w:r>
    </w:p>
    <w:p w:rsidR="00A13428" w:rsidRPr="00A13428" w:rsidRDefault="00A13428" w:rsidP="00A13428">
      <w:pPr>
        <w:spacing w:line="360" w:lineRule="auto"/>
        <w:rPr>
          <w:color w:val="000000" w:themeColor="text1"/>
          <w:sz w:val="24"/>
          <w:szCs w:val="24"/>
        </w:rPr>
      </w:pPr>
      <w:r w:rsidRPr="00A13428">
        <w:rPr>
          <w:color w:val="000000" w:themeColor="text1"/>
          <w:sz w:val="24"/>
          <w:szCs w:val="24"/>
        </w:rPr>
        <w:lastRenderedPageBreak/>
        <w:t xml:space="preserve">Ambisjonen for prosjektet har vært å utvikle materialer med egenskaper som gjør at det fungerer godt både i butikk og hos forbruker.  I samarbeid med blant annet Stenqvist og Billerud Korsnäs og basert på lagringsstudier og ekspertise fra Nofima og input om miljø- og ressurseffektivitet av brødets verdikjede, har PFI utviklet materialer med lovende egenskaper som kan brukes i videre testing. </w:t>
      </w:r>
    </w:p>
    <w:p w:rsidR="00A13428" w:rsidRPr="00A13428" w:rsidRDefault="00A13428" w:rsidP="00A13428">
      <w:pPr>
        <w:spacing w:line="360" w:lineRule="auto"/>
        <w:rPr>
          <w:rFonts w:eastAsia="Times New Roman"/>
          <w:color w:val="000000" w:themeColor="text1"/>
          <w:sz w:val="24"/>
          <w:szCs w:val="24"/>
          <w:lang w:eastAsia="en-GB"/>
        </w:rPr>
      </w:pPr>
      <w:r w:rsidRPr="00A13428">
        <w:rPr>
          <w:color w:val="000000" w:themeColor="text1"/>
          <w:sz w:val="24"/>
          <w:szCs w:val="24"/>
        </w:rPr>
        <w:t>Prosjektet er et samarbeid mellom Stenqvist AS, Cernova/Norgesmøllene, Mesterbakeren, Billerud Korsnäs Nofima, PFI og Østfoldforskning. Det har en ramme på 8,9 millioner kroner fordelt på tre år, finansiert gjennom Forskningsrådets Bionær-program.</w:t>
      </w:r>
    </w:p>
    <w:p w:rsidR="00A13428" w:rsidRPr="00A13428" w:rsidRDefault="00A13428" w:rsidP="00A13428">
      <w:pPr>
        <w:spacing w:line="360" w:lineRule="auto"/>
        <w:rPr>
          <w:sz w:val="24"/>
          <w:szCs w:val="24"/>
        </w:rPr>
      </w:pPr>
    </w:p>
    <w:p w:rsidR="00EA55C6" w:rsidRPr="00541636" w:rsidRDefault="00EA55C6" w:rsidP="001F13A6">
      <w:pPr>
        <w:spacing w:line="360" w:lineRule="auto"/>
        <w:rPr>
          <w:sz w:val="24"/>
          <w:szCs w:val="24"/>
        </w:rPr>
      </w:pPr>
    </w:p>
    <w:p w:rsidR="009C425E" w:rsidRDefault="009C425E" w:rsidP="009C425E">
      <w:pPr>
        <w:rPr>
          <w:sz w:val="24"/>
          <w:szCs w:val="24"/>
        </w:rPr>
      </w:pPr>
    </w:p>
    <w:p w:rsidR="009C425E" w:rsidRPr="009C425E" w:rsidRDefault="009C425E" w:rsidP="009C425E">
      <w:bookmarkStart w:id="0" w:name="_GoBack"/>
      <w:bookmarkEnd w:id="0"/>
    </w:p>
    <w:p w:rsidR="00EA55C6" w:rsidRDefault="00EA55C6" w:rsidP="00EA55C6">
      <w:pPr>
        <w:pStyle w:val="Overskrift1"/>
      </w:pPr>
      <w:r>
        <w:t>Forskningsprosjekter relatert til emballering fordelt på type prosjekter 2007-2015</w:t>
      </w:r>
    </w:p>
    <w:p w:rsidR="00EA55C6" w:rsidRDefault="00EA55C6" w:rsidP="00030A34"/>
    <w:p w:rsidR="007C2E6A" w:rsidRDefault="007C2E6A" w:rsidP="009E3A7A">
      <w:pPr>
        <w:pStyle w:val="Overskrift2"/>
      </w:pPr>
    </w:p>
    <w:p w:rsidR="00EA55C6" w:rsidRDefault="009E3A7A" w:rsidP="009E3A7A">
      <w:pPr>
        <w:pStyle w:val="Overskrift2"/>
      </w:pPr>
      <w:r>
        <w:lastRenderedPageBreak/>
        <w:t>Omsetning i kkr fordelt på type prosjekt</w:t>
      </w:r>
    </w:p>
    <w:p w:rsidR="007C2E6A" w:rsidRPr="007C2E6A" w:rsidRDefault="007C2E6A" w:rsidP="007C2E6A"/>
    <w:p w:rsidR="009E3A7A" w:rsidRDefault="009E3A7A" w:rsidP="00030A34"/>
    <w:p w:rsidR="00EA55C6" w:rsidRDefault="009E3A7A" w:rsidP="00030A34">
      <w:r>
        <w:rPr>
          <w:noProof/>
        </w:rPr>
        <w:drawing>
          <wp:inline distT="0" distB="0" distL="0" distR="0" wp14:anchorId="5EB9BF7B" wp14:editId="1F72098C">
            <wp:extent cx="5774620" cy="3780000"/>
            <wp:effectExtent l="0" t="0" r="17145" b="11430"/>
            <wp:docPr id="2" name="Diagra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9E3A7A" w:rsidRDefault="009E3A7A" w:rsidP="00030A34"/>
    <w:p w:rsidR="007C2E6A" w:rsidRDefault="007C2E6A" w:rsidP="00030A34"/>
    <w:p w:rsidR="00EA55C6" w:rsidRDefault="00EA55C6" w:rsidP="00EA55C6">
      <w:pPr>
        <w:pStyle w:val="Overskrift1"/>
      </w:pPr>
      <w:r>
        <w:lastRenderedPageBreak/>
        <w:t>Forskningsprosjekter relatert til emballering fordelt på finansieringskilde 2007-2015</w:t>
      </w:r>
    </w:p>
    <w:p w:rsidR="00EA55C6" w:rsidRDefault="00EA55C6" w:rsidP="00030A34"/>
    <w:p w:rsidR="007C2E6A" w:rsidRDefault="007C2E6A" w:rsidP="00030A34"/>
    <w:p w:rsidR="00EA55C6" w:rsidRDefault="009E3A7A" w:rsidP="007369AE">
      <w:pPr>
        <w:pStyle w:val="Overskrift2"/>
      </w:pPr>
      <w:r>
        <w:t>Omsetning i kkr fordelt på finansieringskilde</w:t>
      </w:r>
    </w:p>
    <w:p w:rsidR="007C2E6A" w:rsidRPr="007C2E6A" w:rsidRDefault="007C2E6A" w:rsidP="007C2E6A"/>
    <w:p w:rsidR="009E3A7A" w:rsidRDefault="009E3A7A" w:rsidP="00030A34"/>
    <w:p w:rsidR="009E3A7A" w:rsidRDefault="009E3A7A" w:rsidP="00030A34">
      <w:r>
        <w:rPr>
          <w:noProof/>
        </w:rPr>
        <w:drawing>
          <wp:inline distT="0" distB="0" distL="0" distR="0" wp14:anchorId="039F85D1" wp14:editId="59EF8E9C">
            <wp:extent cx="5112000" cy="3452400"/>
            <wp:effectExtent l="0" t="0" r="12700" b="15240"/>
            <wp:docPr id="4" name="Diagram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EA55C6" w:rsidRDefault="00EA55C6" w:rsidP="00030A34"/>
    <w:p w:rsidR="00D73E1C" w:rsidRDefault="00D73E1C" w:rsidP="00AE273B">
      <w:pPr>
        <w:pStyle w:val="Overskrift1"/>
        <w:rPr>
          <w:rFonts w:asciiTheme="minorHAnsi" w:hAnsiTheme="minorHAnsi"/>
          <w:caps w:val="0"/>
          <w:color w:val="auto"/>
          <w:sz w:val="23"/>
          <w:szCs w:val="20"/>
        </w:rPr>
      </w:pPr>
    </w:p>
    <w:p w:rsidR="00F21FCD" w:rsidRDefault="00F21FCD" w:rsidP="00E2424B">
      <w:pPr>
        <w:pStyle w:val="Overskrift1"/>
        <w:spacing w:line="360" w:lineRule="auto"/>
      </w:pPr>
      <w:r>
        <w:t>Nettverket</w:t>
      </w:r>
    </w:p>
    <w:p w:rsidR="00AE273B" w:rsidRPr="00AE273B" w:rsidRDefault="00F21FCD" w:rsidP="00E2424B">
      <w:pPr>
        <w:spacing w:line="360" w:lineRule="auto"/>
        <w:rPr>
          <w:sz w:val="24"/>
          <w:szCs w:val="24"/>
        </w:rPr>
      </w:pPr>
      <w:r w:rsidRPr="00AE273B">
        <w:rPr>
          <w:sz w:val="24"/>
          <w:szCs w:val="24"/>
        </w:rPr>
        <w:t>Emballasjeforsk har 22 medlemmer som representerer ulike ledd i emballasjens verdikjede.  Det være seg emballasjeprodusenter, emballasjebrukere, maskinleverandører, leverandører av annet teknisk utstyr, Fo</w:t>
      </w:r>
      <w:r w:rsidR="00AE273B" w:rsidRPr="00AE273B">
        <w:rPr>
          <w:sz w:val="24"/>
          <w:szCs w:val="24"/>
        </w:rPr>
        <w:t xml:space="preserve">U-institutter og organisasjoner. </w:t>
      </w:r>
      <w:r w:rsidR="00D73E1C">
        <w:t xml:space="preserve">Direktør i Emballasjeforeningen, Kari Bunes leder sekretariatet i Emballasjeforsk. </w:t>
      </w:r>
      <w:r w:rsidR="00AE273B" w:rsidRPr="00AE273B">
        <w:rPr>
          <w:sz w:val="24"/>
          <w:szCs w:val="24"/>
        </w:rPr>
        <w:t>Disse er:</w:t>
      </w:r>
    </w:p>
    <w:tbl>
      <w:tblPr>
        <w:tblStyle w:val="Tabellrutenett"/>
        <w:tblW w:w="0" w:type="auto"/>
        <w:tblLook w:val="04A0" w:firstRow="1" w:lastRow="0" w:firstColumn="1" w:lastColumn="0" w:noHBand="0" w:noVBand="1"/>
      </w:tblPr>
      <w:tblGrid>
        <w:gridCol w:w="2017"/>
        <w:gridCol w:w="2504"/>
        <w:gridCol w:w="2748"/>
        <w:gridCol w:w="1792"/>
      </w:tblGrid>
      <w:tr w:rsidR="00D73E1C" w:rsidTr="00D73E1C">
        <w:tc>
          <w:tcPr>
            <w:tcW w:w="0" w:type="auto"/>
          </w:tcPr>
          <w:p w:rsidR="00D73E1C" w:rsidRDefault="00D73E1C" w:rsidP="00D73E1C">
            <w:r w:rsidRPr="00AE273B">
              <w:t>Bama Gruppen</w:t>
            </w:r>
          </w:p>
        </w:tc>
        <w:tc>
          <w:tcPr>
            <w:tcW w:w="0" w:type="auto"/>
          </w:tcPr>
          <w:p w:rsidR="00D73E1C" w:rsidRDefault="00D73E1C" w:rsidP="00030A34">
            <w:r w:rsidRPr="00AE273B">
              <w:t>Lexit Group Norge</w:t>
            </w:r>
          </w:p>
        </w:tc>
        <w:tc>
          <w:tcPr>
            <w:tcW w:w="0" w:type="auto"/>
          </w:tcPr>
          <w:p w:rsidR="00D73E1C" w:rsidRDefault="00D73E1C" w:rsidP="00030A34">
            <w:r w:rsidRPr="00AE273B">
              <w:t>Peterson Packaging</w:t>
            </w:r>
          </w:p>
        </w:tc>
        <w:tc>
          <w:tcPr>
            <w:tcW w:w="0" w:type="auto"/>
          </w:tcPr>
          <w:p w:rsidR="00D73E1C" w:rsidRDefault="00D73E1C" w:rsidP="00030A34">
            <w:r w:rsidRPr="00AE273B">
              <w:t>Tommen Gram</w:t>
            </w:r>
          </w:p>
        </w:tc>
      </w:tr>
      <w:tr w:rsidR="00D73E1C" w:rsidTr="00D73E1C">
        <w:tc>
          <w:tcPr>
            <w:tcW w:w="0" w:type="auto"/>
          </w:tcPr>
          <w:p w:rsidR="00D73E1C" w:rsidRDefault="00D73E1C" w:rsidP="00030A34">
            <w:r w:rsidRPr="00AE273B">
              <w:t xml:space="preserve">Bewi </w:t>
            </w:r>
          </w:p>
        </w:tc>
        <w:tc>
          <w:tcPr>
            <w:tcW w:w="0" w:type="auto"/>
          </w:tcPr>
          <w:p w:rsidR="00D73E1C" w:rsidRDefault="00D73E1C" w:rsidP="00030A34">
            <w:r w:rsidRPr="00AE273B">
              <w:t>Mills</w:t>
            </w:r>
          </w:p>
        </w:tc>
        <w:tc>
          <w:tcPr>
            <w:tcW w:w="0" w:type="auto"/>
          </w:tcPr>
          <w:p w:rsidR="00D73E1C" w:rsidRDefault="00D73E1C" w:rsidP="00030A34">
            <w:r w:rsidRPr="00AE273B">
              <w:t xml:space="preserve">RPC Promens </w:t>
            </w:r>
          </w:p>
        </w:tc>
        <w:tc>
          <w:tcPr>
            <w:tcW w:w="0" w:type="auto"/>
          </w:tcPr>
          <w:p w:rsidR="00D73E1C" w:rsidRDefault="00D73E1C" w:rsidP="00030A34">
            <w:r w:rsidRPr="00AE273B">
              <w:t>Unil</w:t>
            </w:r>
          </w:p>
        </w:tc>
      </w:tr>
      <w:tr w:rsidR="00D73E1C" w:rsidTr="00D73E1C">
        <w:tc>
          <w:tcPr>
            <w:tcW w:w="0" w:type="auto"/>
          </w:tcPr>
          <w:p w:rsidR="00D73E1C" w:rsidRDefault="00D73E1C" w:rsidP="00030A34">
            <w:r w:rsidRPr="00AE273B">
              <w:t>Elopak</w:t>
            </w:r>
          </w:p>
        </w:tc>
        <w:tc>
          <w:tcPr>
            <w:tcW w:w="0" w:type="auto"/>
          </w:tcPr>
          <w:p w:rsidR="00D73E1C" w:rsidRDefault="00D73E1C" w:rsidP="00030A34">
            <w:r w:rsidRPr="00AE273B">
              <w:t xml:space="preserve">Nofima </w:t>
            </w:r>
          </w:p>
        </w:tc>
        <w:tc>
          <w:tcPr>
            <w:tcW w:w="0" w:type="auto"/>
          </w:tcPr>
          <w:p w:rsidR="00D73E1C" w:rsidRDefault="00D73E1C" w:rsidP="00030A34">
            <w:r w:rsidRPr="00AE273B">
              <w:t>Sintef Materialer og Kjemi</w:t>
            </w:r>
          </w:p>
        </w:tc>
        <w:tc>
          <w:tcPr>
            <w:tcW w:w="0" w:type="auto"/>
          </w:tcPr>
          <w:p w:rsidR="00D73E1C" w:rsidRDefault="00D73E1C" w:rsidP="00030A34">
            <w:r w:rsidRPr="00AE273B">
              <w:t xml:space="preserve">Wipak Oslo </w:t>
            </w:r>
            <w:r w:rsidRPr="00AE273B">
              <w:br/>
            </w:r>
          </w:p>
        </w:tc>
      </w:tr>
      <w:tr w:rsidR="00D73E1C" w:rsidTr="00D73E1C">
        <w:tc>
          <w:tcPr>
            <w:tcW w:w="0" w:type="auto"/>
          </w:tcPr>
          <w:p w:rsidR="00D73E1C" w:rsidRDefault="00D73E1C" w:rsidP="00030A34">
            <w:r w:rsidRPr="00AE273B">
              <w:t>Fjordland</w:t>
            </w:r>
          </w:p>
        </w:tc>
        <w:tc>
          <w:tcPr>
            <w:tcW w:w="0" w:type="auto"/>
          </w:tcPr>
          <w:p w:rsidR="00D73E1C" w:rsidRDefault="00D73E1C" w:rsidP="00030A34">
            <w:r w:rsidRPr="00AE273B">
              <w:t>Norner</w:t>
            </w:r>
          </w:p>
        </w:tc>
        <w:tc>
          <w:tcPr>
            <w:tcW w:w="0" w:type="auto"/>
          </w:tcPr>
          <w:p w:rsidR="00D73E1C" w:rsidRDefault="00D73E1C" w:rsidP="00030A34">
            <w:r w:rsidRPr="00AE273B">
              <w:t>Skanem Stavanger</w:t>
            </w:r>
          </w:p>
        </w:tc>
        <w:tc>
          <w:tcPr>
            <w:tcW w:w="0" w:type="auto"/>
          </w:tcPr>
          <w:p w:rsidR="00D73E1C" w:rsidRDefault="00D73E1C" w:rsidP="00030A34">
            <w:r w:rsidRPr="00AE273B">
              <w:t xml:space="preserve">Østfoldforskning </w:t>
            </w:r>
          </w:p>
        </w:tc>
      </w:tr>
      <w:tr w:rsidR="00D73E1C" w:rsidTr="00D73E1C">
        <w:tc>
          <w:tcPr>
            <w:tcW w:w="0" w:type="auto"/>
          </w:tcPr>
          <w:p w:rsidR="00D73E1C" w:rsidRDefault="00D73E1C" w:rsidP="00030A34">
            <w:r w:rsidRPr="00AE273B">
              <w:t xml:space="preserve">Glomma Papp </w:t>
            </w:r>
          </w:p>
        </w:tc>
        <w:tc>
          <w:tcPr>
            <w:tcW w:w="0" w:type="auto"/>
          </w:tcPr>
          <w:p w:rsidR="00D73E1C" w:rsidRDefault="00D73E1C" w:rsidP="00030A34">
            <w:r w:rsidRPr="00AE273B">
              <w:t xml:space="preserve">Nortura </w:t>
            </w:r>
          </w:p>
        </w:tc>
        <w:tc>
          <w:tcPr>
            <w:tcW w:w="0" w:type="auto"/>
          </w:tcPr>
          <w:p w:rsidR="00D73E1C" w:rsidRDefault="00D73E1C" w:rsidP="00030A34">
            <w:r w:rsidRPr="00AE273B">
              <w:t>Smurfit Kappa Norpapp</w:t>
            </w:r>
          </w:p>
        </w:tc>
        <w:tc>
          <w:tcPr>
            <w:tcW w:w="0" w:type="auto"/>
          </w:tcPr>
          <w:p w:rsidR="00D73E1C" w:rsidRDefault="00D73E1C" w:rsidP="00030A34"/>
        </w:tc>
      </w:tr>
      <w:tr w:rsidR="00D73E1C" w:rsidTr="00D73E1C">
        <w:tc>
          <w:tcPr>
            <w:tcW w:w="0" w:type="auto"/>
          </w:tcPr>
          <w:p w:rsidR="00D73E1C" w:rsidRDefault="00D73E1C" w:rsidP="00030A34">
            <w:r w:rsidRPr="00AE273B">
              <w:t>Grønt Punkt Norge</w:t>
            </w:r>
          </w:p>
        </w:tc>
        <w:tc>
          <w:tcPr>
            <w:tcW w:w="0" w:type="auto"/>
          </w:tcPr>
          <w:p w:rsidR="00D73E1C" w:rsidRDefault="00D73E1C" w:rsidP="00030A34">
            <w:r w:rsidRPr="00AE273B">
              <w:t>Papir- og fiberinstituttet</w:t>
            </w:r>
          </w:p>
        </w:tc>
        <w:tc>
          <w:tcPr>
            <w:tcW w:w="0" w:type="auto"/>
          </w:tcPr>
          <w:p w:rsidR="00D73E1C" w:rsidRDefault="00D73E1C" w:rsidP="00030A34">
            <w:r w:rsidRPr="00AE273B">
              <w:t xml:space="preserve">TINE </w:t>
            </w:r>
          </w:p>
        </w:tc>
        <w:tc>
          <w:tcPr>
            <w:tcW w:w="0" w:type="auto"/>
          </w:tcPr>
          <w:p w:rsidR="00D73E1C" w:rsidRDefault="00D73E1C" w:rsidP="00030A34"/>
        </w:tc>
      </w:tr>
    </w:tbl>
    <w:p w:rsidR="00AE273B" w:rsidRDefault="00AE273B" w:rsidP="00030A34">
      <w:pPr>
        <w:rPr>
          <w:sz w:val="24"/>
        </w:rPr>
      </w:pPr>
    </w:p>
    <w:p w:rsidR="00D73E1C" w:rsidRDefault="00D73E1C" w:rsidP="00030A34"/>
    <w:p w:rsidR="00AE273B" w:rsidRDefault="00AE273B" w:rsidP="00E2424B">
      <w:pPr>
        <w:pStyle w:val="Overskrift1"/>
        <w:spacing w:line="360" w:lineRule="auto"/>
      </w:pPr>
      <w:r>
        <w:t>Kommunikasjon</w:t>
      </w:r>
    </w:p>
    <w:p w:rsidR="00AE273B" w:rsidRPr="00D73E1C" w:rsidRDefault="00AE273B" w:rsidP="00E2424B">
      <w:pPr>
        <w:spacing w:line="360" w:lineRule="auto"/>
        <w:rPr>
          <w:sz w:val="24"/>
          <w:szCs w:val="24"/>
        </w:rPr>
      </w:pPr>
      <w:r w:rsidRPr="00D73E1C">
        <w:rPr>
          <w:sz w:val="24"/>
          <w:szCs w:val="24"/>
        </w:rPr>
        <w:t xml:space="preserve">Emballasjeforsk har informasjon om nettverket publisert på nettsiden til Emballasjeforeningen. Det har i løpet av året </w:t>
      </w:r>
      <w:r w:rsidRPr="00D73E1C">
        <w:rPr>
          <w:sz w:val="24"/>
          <w:szCs w:val="24"/>
        </w:rPr>
        <w:lastRenderedPageBreak/>
        <w:t>vært publisert flere artikler om forskningsprosjekter og –resultater. Styret og sekretariatet har deltatt på flere seminarer og hatt dialog med eksisterende og potensielle nye medlemmer.</w:t>
      </w:r>
    </w:p>
    <w:p w:rsidR="00AE273B" w:rsidRPr="00D73E1C" w:rsidRDefault="00AE273B" w:rsidP="00D9652E">
      <w:pPr>
        <w:spacing w:line="360" w:lineRule="auto"/>
        <w:rPr>
          <w:sz w:val="24"/>
          <w:szCs w:val="24"/>
        </w:rPr>
      </w:pPr>
      <w:r w:rsidRPr="00D73E1C">
        <w:rPr>
          <w:sz w:val="24"/>
          <w:szCs w:val="24"/>
        </w:rPr>
        <w:t xml:space="preserve">I ny strategiplan som blir presentert for årsmøte i mai 2016 er kommunikasjon fremhevet som ett av de prioriterte områdene og flere aktiviteter er planlagt for å </w:t>
      </w:r>
      <w:r w:rsidR="00D73E1C" w:rsidRPr="00D73E1C">
        <w:rPr>
          <w:sz w:val="24"/>
          <w:szCs w:val="24"/>
        </w:rPr>
        <w:t>styrke</w:t>
      </w:r>
      <w:r w:rsidRPr="00D73E1C">
        <w:rPr>
          <w:sz w:val="24"/>
          <w:szCs w:val="24"/>
        </w:rPr>
        <w:t xml:space="preserve"> den eksterne kommunikasjonen.</w:t>
      </w:r>
    </w:p>
    <w:p w:rsidR="00D73E1C" w:rsidRDefault="00D73E1C" w:rsidP="00030A34"/>
    <w:p w:rsidR="00D73E1C" w:rsidRDefault="00D73E1C" w:rsidP="00E2424B">
      <w:pPr>
        <w:pStyle w:val="Overskrift1"/>
        <w:spacing w:line="360" w:lineRule="auto"/>
      </w:pPr>
      <w:r>
        <w:t>Økonomi</w:t>
      </w:r>
    </w:p>
    <w:p w:rsidR="00D73E1C" w:rsidRPr="00E2424B" w:rsidRDefault="00D73E1C" w:rsidP="00E2424B">
      <w:pPr>
        <w:spacing w:line="360" w:lineRule="auto"/>
        <w:rPr>
          <w:sz w:val="24"/>
          <w:szCs w:val="24"/>
        </w:rPr>
      </w:pPr>
      <w:r w:rsidRPr="00D73E1C">
        <w:rPr>
          <w:sz w:val="24"/>
          <w:szCs w:val="24"/>
        </w:rPr>
        <w:t>Aktivitetene i Emballasjeforsk finansieres gjennom innbetalt medlemskontingent, som til sammen utgjorde kr. 327.000 i 2015. Regnskapet</w:t>
      </w:r>
      <w:r w:rsidR="006E471F">
        <w:rPr>
          <w:sz w:val="24"/>
          <w:szCs w:val="24"/>
        </w:rPr>
        <w:t xml:space="preserve"> i Emballasjeforsk inngår som</w:t>
      </w:r>
      <w:r w:rsidRPr="00D73E1C">
        <w:rPr>
          <w:sz w:val="24"/>
          <w:szCs w:val="24"/>
        </w:rPr>
        <w:t xml:space="preserve"> egen post i regnskapet til Emballasjeforeningen. </w:t>
      </w:r>
    </w:p>
    <w:p w:rsidR="00D73E1C" w:rsidRDefault="00D73E1C" w:rsidP="00030A34"/>
    <w:p w:rsidR="00D73E1C" w:rsidRDefault="00D73E1C" w:rsidP="00030A34">
      <w:r>
        <w:t>Oslo, 31.12. 2015</w:t>
      </w:r>
    </w:p>
    <w:sectPr w:rsidR="00D73E1C">
      <w:headerReference w:type="even" r:id="rId14"/>
      <w:headerReference w:type="default" r:id="rId15"/>
      <w:footerReference w:type="even" r:id="rId16"/>
      <w:footerReference w:type="default" r:id="rId17"/>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CD" w:rsidRDefault="00F21FCD">
      <w:pPr>
        <w:spacing w:after="0" w:line="240" w:lineRule="auto"/>
      </w:pPr>
      <w:r>
        <w:separator/>
      </w:r>
    </w:p>
  </w:endnote>
  <w:endnote w:type="continuationSeparator" w:id="0">
    <w:p w:rsidR="00F21FCD" w:rsidRDefault="00F2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CD" w:rsidRDefault="00F21FCD"/>
  <w:p w:rsidR="00F21FCD" w:rsidRDefault="00F21FCD">
    <w:pPr>
      <w:pStyle w:val="Bunntekstpartallsside"/>
    </w:pPr>
    <w:r>
      <w:t xml:space="preserve">Side </w:t>
    </w:r>
    <w:r>
      <w:fldChar w:fldCharType="begin"/>
    </w:r>
    <w:r>
      <w:instrText>PAGE   \* MERGEFORMAT</w:instrText>
    </w:r>
    <w:r>
      <w:fldChar w:fldCharType="separate"/>
    </w:r>
    <w:r w:rsidR="00BF62E2" w:rsidRPr="00BF62E2">
      <w:rPr>
        <w:noProof/>
        <w:sz w:val="24"/>
        <w:szCs w:val="24"/>
      </w:rPr>
      <w:t>12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CD" w:rsidRDefault="00F21FCD"/>
  <w:p w:rsidR="00F21FCD" w:rsidRDefault="00F21FCD">
    <w:pPr>
      <w:pStyle w:val="Bunntekstoddetallsside"/>
    </w:pPr>
    <w:r>
      <w:t xml:space="preserve">Side </w:t>
    </w:r>
    <w:r>
      <w:fldChar w:fldCharType="begin"/>
    </w:r>
    <w:r>
      <w:instrText>PAGE   \* MERGEFORMAT</w:instrText>
    </w:r>
    <w:r>
      <w:fldChar w:fldCharType="separate"/>
    </w:r>
    <w:r w:rsidR="00BF62E2" w:rsidRPr="00BF62E2">
      <w:rPr>
        <w:noProof/>
        <w:sz w:val="24"/>
        <w:szCs w:val="24"/>
      </w:rPr>
      <w:t>11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CD" w:rsidRDefault="00F21FCD">
      <w:pPr>
        <w:spacing w:after="0" w:line="240" w:lineRule="auto"/>
      </w:pPr>
      <w:r>
        <w:separator/>
      </w:r>
    </w:p>
  </w:footnote>
  <w:footnote w:type="continuationSeparator" w:id="0">
    <w:p w:rsidR="00F21FCD" w:rsidRDefault="00F2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CD" w:rsidRDefault="00BF62E2">
    <w:pPr>
      <w:pStyle w:val="Topptekstpartallsside"/>
    </w:pPr>
    <w:sdt>
      <w:sdtPr>
        <w:alias w:val="Tittel"/>
        <w:id w:val="540890930"/>
        <w:dataBinding w:prefixMappings="xmlns:ns0='http://schemas.openxmlformats.org/package/2006/metadata/core-properties' xmlns:ns1='http://purl.org/dc/elements/1.1/'" w:xpath="/ns0:coreProperties[1]/ns1:title[1]" w:storeItemID="{6C3C8BC8-F283-45AE-878A-BAB7291924A1}"/>
        <w:text/>
      </w:sdtPr>
      <w:sdtEndPr/>
      <w:sdtContent>
        <w:r w:rsidR="00F21FCD">
          <w:t>Årsrapport 2015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CD" w:rsidRDefault="00BF62E2">
    <w:pPr>
      <w:pStyle w:val="Topptekstoddetallsside"/>
    </w:pPr>
    <w:sdt>
      <w:sdtPr>
        <w:alias w:val="Tittel"/>
        <w:id w:val="540932446"/>
        <w:dataBinding w:prefixMappings="xmlns:ns0='http://schemas.openxmlformats.org/package/2006/metadata/core-properties' xmlns:ns1='http://purl.org/dc/elements/1.1/'" w:xpath="/ns0:coreProperties[1]/ns1:title[1]" w:storeItemID="{6C3C8BC8-F283-45AE-878A-BAB7291924A1}"/>
        <w:text/>
      </w:sdtPr>
      <w:sdtEndPr/>
      <w:sdtContent>
        <w:r w:rsidR="00F21FCD">
          <w:t>Årsrapport 2015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Punktliste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Punktliste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Punktliste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Punktliste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17A9B"/>
    <w:multiLevelType w:val="multilevel"/>
    <w:tmpl w:val="0409001D"/>
    <w:styleLink w:val="Teknologi-listesti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Punktliste"/>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AD104E7"/>
    <w:multiLevelType w:val="hybridMultilevel"/>
    <w:tmpl w:val="E63E7EF8"/>
    <w:lvl w:ilvl="0" w:tplc="D8E427D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CCB3F91"/>
    <w:multiLevelType w:val="hybridMultilevel"/>
    <w:tmpl w:val="1200D4D8"/>
    <w:lvl w:ilvl="0" w:tplc="E69476C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6"/>
  </w:num>
  <w:num w:numId="13">
    <w:abstractNumId w:val="3"/>
  </w:num>
  <w:num w:numId="14">
    <w:abstractNumId w:val="2"/>
  </w:num>
  <w:num w:numId="15">
    <w:abstractNumId w:val="1"/>
  </w:num>
  <w:num w:numId="16">
    <w:abstractNumId w:val="0"/>
  </w:num>
  <w:num w:numId="17">
    <w:abstractNumId w:val="5"/>
  </w:num>
  <w:num w:numId="18">
    <w:abstractNumId w:val="6"/>
  </w:num>
  <w:num w:numId="19">
    <w:abstractNumId w:val="3"/>
  </w:num>
  <w:num w:numId="20">
    <w:abstractNumId w:val="2"/>
  </w:num>
  <w:num w:numId="21">
    <w:abstractNumId w:val="1"/>
  </w:num>
  <w:num w:numId="22">
    <w:abstractNumId w:val="0"/>
  </w:num>
  <w:num w:numId="23">
    <w:abstractNumId w:val="5"/>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defaultTabStop w:val="709"/>
  <w:hyphenationZone w:val="420"/>
  <w:evenAndOddHeaders/>
  <w:drawingGridHorizontalSpacing w:val="115"/>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06"/>
    <w:rsid w:val="00030A34"/>
    <w:rsid w:val="00032502"/>
    <w:rsid w:val="00093F29"/>
    <w:rsid w:val="00120818"/>
    <w:rsid w:val="001F13A6"/>
    <w:rsid w:val="00207300"/>
    <w:rsid w:val="00240FA5"/>
    <w:rsid w:val="002C1ADB"/>
    <w:rsid w:val="00321619"/>
    <w:rsid w:val="003254D7"/>
    <w:rsid w:val="003B102B"/>
    <w:rsid w:val="003D76A7"/>
    <w:rsid w:val="004F0270"/>
    <w:rsid w:val="0050343F"/>
    <w:rsid w:val="00541636"/>
    <w:rsid w:val="006322D9"/>
    <w:rsid w:val="00635174"/>
    <w:rsid w:val="00650CB9"/>
    <w:rsid w:val="006E471F"/>
    <w:rsid w:val="007369AE"/>
    <w:rsid w:val="007459F8"/>
    <w:rsid w:val="00746B59"/>
    <w:rsid w:val="00777F17"/>
    <w:rsid w:val="007C2E6A"/>
    <w:rsid w:val="0082273B"/>
    <w:rsid w:val="00825F14"/>
    <w:rsid w:val="00850F06"/>
    <w:rsid w:val="009C425E"/>
    <w:rsid w:val="009E3A7A"/>
    <w:rsid w:val="00A13428"/>
    <w:rsid w:val="00A843C6"/>
    <w:rsid w:val="00AE273B"/>
    <w:rsid w:val="00B50361"/>
    <w:rsid w:val="00BA11CC"/>
    <w:rsid w:val="00BF62E2"/>
    <w:rsid w:val="00C23AF4"/>
    <w:rsid w:val="00C71A2F"/>
    <w:rsid w:val="00CC6A45"/>
    <w:rsid w:val="00D73E1C"/>
    <w:rsid w:val="00D91A30"/>
    <w:rsid w:val="00D9652E"/>
    <w:rsid w:val="00DE4C5A"/>
    <w:rsid w:val="00E2424B"/>
    <w:rsid w:val="00E97006"/>
    <w:rsid w:val="00EA55C6"/>
    <w:rsid w:val="00F21FCD"/>
    <w:rsid w:val="00FC42A3"/>
    <w:rsid w:val="00FF24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E2952C"/>
  <w15:docId w15:val="{9F5466A7-82B2-4F0B-B215-7A11AB2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nb-NO" w:eastAsia="nb-NO" w:bidi="ar-SA"/>
        <w14:ligatures w14:val="standardContextual"/>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80" w:line="264" w:lineRule="auto"/>
    </w:pPr>
  </w:style>
  <w:style w:type="paragraph" w:styleId="Overskrift1">
    <w:name w:val="heading 1"/>
    <w:basedOn w:val="Normal"/>
    <w:next w:val="Normal"/>
    <w:link w:val="Overskrift1Tegn"/>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Overskrift2">
    <w:name w:val="heading 2"/>
    <w:basedOn w:val="Normal"/>
    <w:next w:val="Normal"/>
    <w:link w:val="Overskrift2Tegn"/>
    <w:uiPriority w:val="9"/>
    <w:unhideWhenUsed/>
    <w:qFormat/>
    <w:pPr>
      <w:spacing w:before="240" w:after="80"/>
      <w:outlineLvl w:val="1"/>
    </w:pPr>
    <w:rPr>
      <w:b/>
      <w:color w:val="94B6D2" w:themeColor="accent1"/>
      <w:spacing w:val="20"/>
      <w:sz w:val="28"/>
      <w:szCs w:val="28"/>
    </w:rPr>
  </w:style>
  <w:style w:type="paragraph" w:styleId="Overskrift3">
    <w:name w:val="heading 3"/>
    <w:basedOn w:val="Normal"/>
    <w:next w:val="Normal"/>
    <w:link w:val="Overskrift3Tegn"/>
    <w:uiPriority w:val="9"/>
    <w:unhideWhenUsed/>
    <w:qFormat/>
    <w:pPr>
      <w:spacing w:before="240" w:after="60"/>
      <w:outlineLvl w:val="2"/>
    </w:pPr>
    <w:rPr>
      <w:b/>
      <w:color w:val="000000" w:themeColor="text1"/>
      <w:spacing w:val="10"/>
      <w:szCs w:val="24"/>
    </w:rPr>
  </w:style>
  <w:style w:type="paragraph" w:styleId="Overskrift4">
    <w:name w:val="heading 4"/>
    <w:basedOn w:val="Normal"/>
    <w:next w:val="Normal"/>
    <w:link w:val="Overskrift4Tegn"/>
    <w:uiPriority w:val="9"/>
    <w:semiHidden/>
    <w:unhideWhenUsed/>
    <w:qFormat/>
    <w:pPr>
      <w:spacing w:before="240" w:after="0"/>
      <w:outlineLvl w:val="3"/>
    </w:pPr>
    <w:rPr>
      <w:caps/>
      <w:spacing w:val="14"/>
      <w:sz w:val="22"/>
      <w:szCs w:val="22"/>
    </w:rPr>
  </w:style>
  <w:style w:type="paragraph" w:styleId="Overskrift5">
    <w:name w:val="heading 5"/>
    <w:basedOn w:val="Normal"/>
    <w:next w:val="Normal"/>
    <w:link w:val="Overskrift5Tegn"/>
    <w:uiPriority w:val="9"/>
    <w:semiHidden/>
    <w:unhideWhenUsed/>
    <w:qFormat/>
    <w:pPr>
      <w:spacing w:before="200" w:after="0"/>
      <w:outlineLvl w:val="4"/>
    </w:pPr>
    <w:rPr>
      <w:b/>
      <w:color w:val="775F55" w:themeColor="text2"/>
      <w:spacing w:val="10"/>
      <w:szCs w:val="26"/>
    </w:rPr>
  </w:style>
  <w:style w:type="paragraph" w:styleId="Overskrift6">
    <w:name w:val="heading 6"/>
    <w:basedOn w:val="Normal"/>
    <w:next w:val="Normal"/>
    <w:link w:val="Overskrift6Tegn"/>
    <w:uiPriority w:val="9"/>
    <w:semiHidden/>
    <w:unhideWhenUsed/>
    <w:qFormat/>
    <w:pPr>
      <w:spacing w:after="0"/>
      <w:outlineLvl w:val="5"/>
    </w:pPr>
    <w:rPr>
      <w:b/>
      <w:color w:val="DD8047" w:themeColor="accent2"/>
      <w:spacing w:val="10"/>
    </w:rPr>
  </w:style>
  <w:style w:type="paragraph" w:styleId="Overskrift7">
    <w:name w:val="heading 7"/>
    <w:basedOn w:val="Normal"/>
    <w:next w:val="Normal"/>
    <w:link w:val="Overskrift7Tegn"/>
    <w:uiPriority w:val="9"/>
    <w:semiHidden/>
    <w:unhideWhenUsed/>
    <w:qFormat/>
    <w:pPr>
      <w:spacing w:after="0"/>
      <w:outlineLvl w:val="6"/>
    </w:pPr>
    <w:rPr>
      <w:smallCaps/>
      <w:color w:val="000000" w:themeColor="text1"/>
      <w:spacing w:val="10"/>
    </w:rPr>
  </w:style>
  <w:style w:type="paragraph" w:styleId="Overskrift8">
    <w:name w:val="heading 8"/>
    <w:basedOn w:val="Normal"/>
    <w:next w:val="Normal"/>
    <w:link w:val="Overskrift8Tegn"/>
    <w:uiPriority w:val="9"/>
    <w:semiHidden/>
    <w:unhideWhenUsed/>
    <w:qFormat/>
    <w:pPr>
      <w:spacing w:after="0"/>
      <w:outlineLvl w:val="7"/>
    </w:pPr>
    <w:rPr>
      <w:b/>
      <w:i/>
      <w:color w:val="94B6D2" w:themeColor="accent1"/>
      <w:spacing w:val="10"/>
      <w:sz w:val="24"/>
    </w:rPr>
  </w:style>
  <w:style w:type="paragraph" w:styleId="Overskrift9">
    <w:name w:val="heading 9"/>
    <w:basedOn w:val="Normal"/>
    <w:next w:val="Normal"/>
    <w:link w:val="Overskrift9Tegn"/>
    <w:uiPriority w:val="9"/>
    <w:semiHidden/>
    <w:unhideWhenUsed/>
    <w:qFormat/>
    <w:pPr>
      <w:spacing w:after="0"/>
      <w:outlineLvl w:val="8"/>
    </w:pPr>
    <w:rPr>
      <w:b/>
      <w:caps/>
      <w:color w:val="A5AB81" w:themeColor="accent3"/>
      <w:spacing w:val="4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hAnsiTheme="majorHAnsi" w:cs="Times New Roman"/>
      <w:caps/>
      <w:color w:val="775F55" w:themeColor="text2"/>
      <w:sz w:val="32"/>
      <w:szCs w:val="32"/>
    </w:rPr>
  </w:style>
  <w:style w:type="character" w:customStyle="1" w:styleId="Overskrift2Tegn">
    <w:name w:val="Overskrift 2 Tegn"/>
    <w:basedOn w:val="Standardskriftforavsnitt"/>
    <w:link w:val="Overskrift2"/>
    <w:uiPriority w:val="9"/>
    <w:rPr>
      <w:rFonts w:cs="Times New Roman"/>
      <w:b/>
      <w:color w:val="94B6D2" w:themeColor="accent1"/>
      <w:spacing w:val="20"/>
      <w:sz w:val="28"/>
      <w:szCs w:val="28"/>
    </w:rPr>
  </w:style>
  <w:style w:type="character" w:customStyle="1" w:styleId="Overskrift3Tegn">
    <w:name w:val="Overskrift 3 Tegn"/>
    <w:basedOn w:val="Standardskriftforavsnitt"/>
    <w:link w:val="Overskrift3"/>
    <w:uiPriority w:val="9"/>
    <w:rPr>
      <w:rFonts w:cs="Times New Roman"/>
      <w:b/>
      <w:color w:val="000000" w:themeColor="text1"/>
      <w:spacing w:val="10"/>
      <w:sz w:val="23"/>
      <w:szCs w:val="23"/>
    </w:rPr>
  </w:style>
  <w:style w:type="paragraph" w:styleId="Bunntekst">
    <w:name w:val="footer"/>
    <w:basedOn w:val="Normal"/>
    <w:link w:val="BunntekstTegn"/>
    <w:uiPriority w:val="99"/>
    <w:unhideWhenUsed/>
    <w:pPr>
      <w:tabs>
        <w:tab w:val="center" w:pos="4320"/>
        <w:tab w:val="right" w:pos="8640"/>
      </w:tabs>
    </w:pPr>
  </w:style>
  <w:style w:type="character" w:customStyle="1" w:styleId="BunntekstTegn">
    <w:name w:val="Bunntekst Tegn"/>
    <w:basedOn w:val="Standardskriftforavsnitt"/>
    <w:link w:val="Bunntekst"/>
    <w:uiPriority w:val="99"/>
    <w:rPr>
      <w:rFonts w:cs="Times New Roman"/>
      <w:sz w:val="23"/>
      <w:szCs w:val="23"/>
    </w:rPr>
  </w:style>
  <w:style w:type="paragraph" w:styleId="Topptekst">
    <w:name w:val="header"/>
    <w:basedOn w:val="Normal"/>
    <w:link w:val="TopptekstTegn"/>
    <w:uiPriority w:val="99"/>
    <w:unhideWhenUsed/>
    <w:pPr>
      <w:tabs>
        <w:tab w:val="center" w:pos="4320"/>
        <w:tab w:val="right" w:pos="8640"/>
      </w:tabs>
    </w:pPr>
  </w:style>
  <w:style w:type="character" w:customStyle="1" w:styleId="TopptekstTegn">
    <w:name w:val="Topptekst Tegn"/>
    <w:basedOn w:val="Standardskriftforavsnitt"/>
    <w:link w:val="Topptekst"/>
    <w:uiPriority w:val="99"/>
    <w:rPr>
      <w:rFonts w:cs="Times New Roman"/>
      <w:sz w:val="23"/>
      <w:szCs w:val="23"/>
    </w:rPr>
  </w:style>
  <w:style w:type="paragraph" w:styleId="Sterktsitat">
    <w:name w:val="Intense Quote"/>
    <w:basedOn w:val="Normal"/>
    <w:link w:val="SterktsitatTegn"/>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SterktsitatTegn">
    <w:name w:val="Sterkt sitat Tegn"/>
    <w:basedOn w:val="Standardskriftforavsnitt"/>
    <w:link w:val="Sterktsitat"/>
    <w:uiPriority w:val="30"/>
    <w:rPr>
      <w:rFonts w:cs="Times New Roman"/>
      <w:b/>
      <w:color w:val="DD8047" w:themeColor="accent2"/>
      <w:sz w:val="23"/>
      <w:szCs w:val="23"/>
      <w:shd w:val="clear" w:color="auto" w:fill="FFFFFF" w:themeFill="background1"/>
    </w:rPr>
  </w:style>
  <w:style w:type="paragraph" w:styleId="Undertittel">
    <w:name w:val="Subtitle"/>
    <w:basedOn w:val="Normal"/>
    <w:link w:val="UndertittelTegn"/>
    <w:uiPriority w:val="11"/>
    <w:qFormat/>
    <w:pPr>
      <w:spacing w:after="720" w:line="240" w:lineRule="auto"/>
    </w:pPr>
    <w:rPr>
      <w:rFonts w:asciiTheme="majorHAnsi" w:hAnsiTheme="majorHAnsi"/>
      <w:b/>
      <w:caps/>
      <w:color w:val="DD8047" w:themeColor="accent2"/>
      <w:spacing w:val="50"/>
      <w:sz w:val="24"/>
      <w:szCs w:val="24"/>
    </w:rPr>
  </w:style>
  <w:style w:type="character" w:customStyle="1" w:styleId="UndertittelTegn">
    <w:name w:val="Undertittel Tegn"/>
    <w:basedOn w:val="Standardskriftforavsnitt"/>
    <w:link w:val="Undertittel"/>
    <w:uiPriority w:val="11"/>
    <w:rPr>
      <w:rFonts w:asciiTheme="majorHAnsi" w:hAnsiTheme="majorHAnsi" w:cs="Times New Roman"/>
      <w:b/>
      <w:caps/>
      <w:color w:val="DD8047" w:themeColor="accent2"/>
      <w:spacing w:val="50"/>
      <w:sz w:val="24"/>
    </w:rPr>
  </w:style>
  <w:style w:type="paragraph" w:styleId="Tittel">
    <w:name w:val="Title"/>
    <w:basedOn w:val="Normal"/>
    <w:link w:val="TittelTegn"/>
    <w:uiPriority w:val="10"/>
    <w:qFormat/>
    <w:pPr>
      <w:spacing w:after="0" w:line="240" w:lineRule="auto"/>
    </w:pPr>
    <w:rPr>
      <w:color w:val="775F55" w:themeColor="text2"/>
      <w:sz w:val="72"/>
      <w:szCs w:val="72"/>
    </w:rPr>
  </w:style>
  <w:style w:type="character" w:customStyle="1" w:styleId="TittelTegn">
    <w:name w:val="Tittel Tegn"/>
    <w:basedOn w:val="Standardskriftforavsnitt"/>
    <w:link w:val="Tittel"/>
    <w:uiPriority w:val="10"/>
    <w:rPr>
      <w:rFonts w:cs="Times New Roman"/>
      <w:color w:val="775F55" w:themeColor="text2"/>
      <w:sz w:val="72"/>
      <w:szCs w:val="72"/>
    </w:rPr>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character" w:styleId="Boktittel">
    <w:name w:val="Book Title"/>
    <w:basedOn w:val="Standardskriftforavsnitt"/>
    <w:uiPriority w:val="33"/>
    <w:qFormat/>
    <w:rPr>
      <w:rFonts w:asciiTheme="minorHAnsi" w:hAnsiTheme="minorHAnsi" w:cs="Times New Roman"/>
      <w:i/>
      <w:color w:val="775F55" w:themeColor="text2"/>
      <w:sz w:val="23"/>
      <w:szCs w:val="23"/>
    </w:rPr>
  </w:style>
  <w:style w:type="paragraph" w:styleId="Bildetekst">
    <w:name w:val="caption"/>
    <w:basedOn w:val="Normal"/>
    <w:next w:val="Normal"/>
    <w:uiPriority w:val="35"/>
    <w:unhideWhenUsed/>
    <w:rPr>
      <w:b/>
      <w:bCs/>
      <w:caps/>
      <w:sz w:val="16"/>
      <w:szCs w:val="16"/>
    </w:rPr>
  </w:style>
  <w:style w:type="character" w:styleId="Utheving">
    <w:name w:val="Emphasis"/>
    <w:uiPriority w:val="20"/>
    <w:qFormat/>
    <w:rPr>
      <w:rFonts w:asciiTheme="minorHAnsi" w:hAnsiTheme="minorHAnsi"/>
      <w:b/>
      <w:i/>
      <w:color w:val="775F55" w:themeColor="text2"/>
      <w:spacing w:val="10"/>
      <w:sz w:val="23"/>
    </w:rPr>
  </w:style>
  <w:style w:type="character" w:customStyle="1" w:styleId="Overskrift4Tegn">
    <w:name w:val="Overskrift 4 Tegn"/>
    <w:basedOn w:val="Standardskriftforavsnitt"/>
    <w:link w:val="Overskrift4"/>
    <w:uiPriority w:val="9"/>
    <w:semiHidden/>
    <w:rPr>
      <w:rFonts w:cs="Times New Roman"/>
      <w:caps/>
      <w:spacing w:val="14"/>
    </w:rPr>
  </w:style>
  <w:style w:type="character" w:customStyle="1" w:styleId="Overskrift5Tegn">
    <w:name w:val="Overskrift 5 Tegn"/>
    <w:basedOn w:val="Standardskriftforavsnitt"/>
    <w:link w:val="Overskrift5"/>
    <w:uiPriority w:val="9"/>
    <w:semiHidden/>
    <w:rPr>
      <w:rFonts w:cs="Times New Roman"/>
      <w:b/>
      <w:color w:val="775F55" w:themeColor="text2"/>
      <w:spacing w:val="10"/>
      <w:sz w:val="23"/>
      <w:szCs w:val="23"/>
    </w:rPr>
  </w:style>
  <w:style w:type="character" w:customStyle="1" w:styleId="Overskrift6Tegn">
    <w:name w:val="Overskrift 6 Tegn"/>
    <w:basedOn w:val="Standardskriftforavsnitt"/>
    <w:link w:val="Overskrift6"/>
    <w:uiPriority w:val="9"/>
    <w:semiHidden/>
    <w:rPr>
      <w:rFonts w:cs="Times New Roman"/>
      <w:b/>
      <w:color w:val="DD8047" w:themeColor="accent2"/>
      <w:spacing w:val="10"/>
      <w:sz w:val="23"/>
      <w:szCs w:val="23"/>
    </w:rPr>
  </w:style>
  <w:style w:type="character" w:customStyle="1" w:styleId="Overskrift7Tegn">
    <w:name w:val="Overskrift 7 Tegn"/>
    <w:basedOn w:val="Standardskriftforavsnitt"/>
    <w:link w:val="Overskrift7"/>
    <w:uiPriority w:val="9"/>
    <w:semiHidden/>
    <w:rPr>
      <w:rFonts w:cs="Times New Roman"/>
      <w:smallCaps/>
      <w:color w:val="000000" w:themeColor="text1"/>
      <w:spacing w:val="10"/>
      <w:sz w:val="23"/>
      <w:szCs w:val="23"/>
    </w:rPr>
  </w:style>
  <w:style w:type="character" w:customStyle="1" w:styleId="Overskrift8Tegn">
    <w:name w:val="Overskrift 8 Tegn"/>
    <w:basedOn w:val="Standardskriftforavsnitt"/>
    <w:link w:val="Overskrift8"/>
    <w:uiPriority w:val="9"/>
    <w:semiHidden/>
    <w:rPr>
      <w:rFonts w:cs="Times New Roman"/>
      <w:b/>
      <w:i/>
      <w:color w:val="94B6D2" w:themeColor="accent1"/>
      <w:spacing w:val="10"/>
      <w:sz w:val="24"/>
      <w:szCs w:val="24"/>
    </w:rPr>
  </w:style>
  <w:style w:type="character" w:customStyle="1" w:styleId="Overskrift9Tegn">
    <w:name w:val="Overskrift 9 Tegn"/>
    <w:basedOn w:val="Standardskriftforavsnitt"/>
    <w:link w:val="Overskrift9"/>
    <w:uiPriority w:val="9"/>
    <w:semiHidden/>
    <w:rPr>
      <w:rFonts w:cs="Times New Roman"/>
      <w:b/>
      <w:caps/>
      <w:color w:val="A5AB81" w:themeColor="accent3"/>
      <w:spacing w:val="40"/>
      <w:sz w:val="20"/>
      <w:szCs w:val="20"/>
    </w:rPr>
  </w:style>
  <w:style w:type="character" w:styleId="Hyperkobling">
    <w:name w:val="Hyperlink"/>
    <w:basedOn w:val="Standardskriftforavsnitt"/>
    <w:uiPriority w:val="99"/>
    <w:semiHidden/>
    <w:unhideWhenUsed/>
    <w:rPr>
      <w:color w:val="F7B615" w:themeColor="hyperlink"/>
      <w:u w:val="single"/>
    </w:rPr>
  </w:style>
  <w:style w:type="character" w:styleId="Sterkutheving">
    <w:name w:val="Intense Emphasis"/>
    <w:basedOn w:val="Standardskriftforavsnitt"/>
    <w:uiPriority w:val="21"/>
    <w:qFormat/>
    <w:rPr>
      <w:rFonts w:asciiTheme="minorHAnsi" w:hAnsiTheme="minorHAnsi"/>
      <w:b/>
      <w:dstrike w:val="0"/>
      <w:color w:val="DD8047" w:themeColor="accent2"/>
      <w:spacing w:val="10"/>
      <w:w w:val="100"/>
      <w:kern w:val="0"/>
      <w:position w:val="0"/>
      <w:sz w:val="23"/>
      <w:vertAlign w:val="baseline"/>
    </w:rPr>
  </w:style>
  <w:style w:type="character" w:styleId="Sterkreferanse">
    <w:name w:val="Intense Reference"/>
    <w:basedOn w:val="Standardskriftforavsnitt"/>
    <w:uiPriority w:val="32"/>
    <w:qFormat/>
    <w:rPr>
      <w:rFonts w:asciiTheme="minorHAnsi" w:hAnsiTheme="minorHAnsi"/>
      <w:b/>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Punktliste">
    <w:name w:val="List Bullet"/>
    <w:basedOn w:val="Normal"/>
    <w:uiPriority w:val="36"/>
    <w:unhideWhenUsed/>
    <w:qFormat/>
    <w:pPr>
      <w:numPr>
        <w:numId w:val="18"/>
      </w:numPr>
    </w:pPr>
    <w:rPr>
      <w:sz w:val="24"/>
    </w:rPr>
  </w:style>
  <w:style w:type="paragraph" w:styleId="Punktliste2">
    <w:name w:val="List Bullet 2"/>
    <w:basedOn w:val="Normal"/>
    <w:uiPriority w:val="36"/>
    <w:unhideWhenUsed/>
    <w:qFormat/>
    <w:pPr>
      <w:numPr>
        <w:numId w:val="19"/>
      </w:numPr>
    </w:pPr>
    <w:rPr>
      <w:color w:val="94B6D2" w:themeColor="accent1"/>
    </w:rPr>
  </w:style>
  <w:style w:type="paragraph" w:styleId="Punktliste3">
    <w:name w:val="List Bullet 3"/>
    <w:basedOn w:val="Normal"/>
    <w:uiPriority w:val="36"/>
    <w:unhideWhenUsed/>
    <w:qFormat/>
    <w:pPr>
      <w:numPr>
        <w:numId w:val="20"/>
      </w:numPr>
    </w:pPr>
    <w:rPr>
      <w:color w:val="DD8047" w:themeColor="accent2"/>
    </w:rPr>
  </w:style>
  <w:style w:type="paragraph" w:styleId="Punktliste4">
    <w:name w:val="List Bullet 4"/>
    <w:basedOn w:val="Normal"/>
    <w:uiPriority w:val="36"/>
    <w:unhideWhenUsed/>
    <w:qFormat/>
    <w:pPr>
      <w:numPr>
        <w:numId w:val="21"/>
      </w:numPr>
    </w:pPr>
    <w:rPr>
      <w:caps/>
      <w:spacing w:val="4"/>
    </w:rPr>
  </w:style>
  <w:style w:type="paragraph" w:styleId="Punktliste5">
    <w:name w:val="List Bullet 5"/>
    <w:basedOn w:val="Normal"/>
    <w:uiPriority w:val="36"/>
    <w:unhideWhenUsed/>
    <w:qFormat/>
    <w:pPr>
      <w:numPr>
        <w:numId w:val="22"/>
      </w:numPr>
    </w:pPr>
  </w:style>
  <w:style w:type="paragraph" w:styleId="Listeavsnitt">
    <w:name w:val="List Paragraph"/>
    <w:basedOn w:val="Normal"/>
    <w:uiPriority w:val="34"/>
    <w:unhideWhenUsed/>
    <w:qFormat/>
    <w:pPr>
      <w:ind w:left="720"/>
      <w:contextualSpacing/>
    </w:pPr>
  </w:style>
  <w:style w:type="numbering" w:customStyle="1" w:styleId="Teknologi-listestil">
    <w:name w:val="Teknologi-listestil"/>
    <w:uiPriority w:val="99"/>
    <w:pPr>
      <w:numPr>
        <w:numId w:val="11"/>
      </w:numPr>
    </w:pPr>
  </w:style>
  <w:style w:type="paragraph" w:styleId="Ingenmellomrom">
    <w:name w:val="No Spacing"/>
    <w:basedOn w:val="Normal"/>
    <w:uiPriority w:val="99"/>
    <w:qFormat/>
    <w:pPr>
      <w:spacing w:after="0" w:line="240" w:lineRule="auto"/>
    </w:pPr>
  </w:style>
  <w:style w:type="character" w:styleId="Plassholdertekst">
    <w:name w:val="Placeholder Text"/>
    <w:basedOn w:val="Standardskriftforavsnitt"/>
    <w:uiPriority w:val="99"/>
    <w:unhideWhenUsed/>
    <w:rPr>
      <w:color w:val="808080"/>
    </w:rPr>
  </w:style>
  <w:style w:type="paragraph" w:styleId="Sitat">
    <w:name w:val="Quote"/>
    <w:basedOn w:val="Normal"/>
    <w:link w:val="SitatTegn"/>
    <w:uiPriority w:val="29"/>
    <w:qFormat/>
    <w:rPr>
      <w:i/>
      <w:smallCaps/>
      <w:color w:val="775F55" w:themeColor="text2"/>
      <w:spacing w:val="6"/>
    </w:rPr>
  </w:style>
  <w:style w:type="character" w:customStyle="1" w:styleId="SitatTegn">
    <w:name w:val="Sitat Tegn"/>
    <w:basedOn w:val="Standardskriftforavsnitt"/>
    <w:link w:val="Sitat"/>
    <w:uiPriority w:val="29"/>
    <w:rPr>
      <w:rFonts w:cs="Times New Roman"/>
      <w:i/>
      <w:smallCaps/>
      <w:color w:val="775F55" w:themeColor="text2"/>
      <w:spacing w:val="6"/>
      <w:sz w:val="23"/>
      <w:szCs w:val="23"/>
    </w:rPr>
  </w:style>
  <w:style w:type="character" w:styleId="Sterk">
    <w:name w:val="Strong"/>
    <w:uiPriority w:val="22"/>
    <w:qFormat/>
    <w:rPr>
      <w:rFonts w:asciiTheme="minorHAnsi" w:hAnsiTheme="minorHAnsi"/>
      <w:b/>
      <w:color w:val="DD8047" w:themeColor="accent2"/>
    </w:rPr>
  </w:style>
  <w:style w:type="character" w:styleId="Svakutheving">
    <w:name w:val="Subtle Emphasis"/>
    <w:basedOn w:val="Standardskriftforavsnitt"/>
    <w:uiPriority w:val="19"/>
    <w:qFormat/>
    <w:rPr>
      <w:rFonts w:asciiTheme="minorHAnsi" w:hAnsiTheme="minorHAnsi"/>
      <w:i/>
      <w:sz w:val="23"/>
    </w:rPr>
  </w:style>
  <w:style w:type="character" w:styleId="Svakreferanse">
    <w:name w:val="Subtle Reference"/>
    <w:basedOn w:val="Standardskriftforavsnitt"/>
    <w:uiPriority w:val="31"/>
    <w:qFormat/>
    <w:rPr>
      <w:rFonts w:asciiTheme="minorHAnsi" w:hAnsiTheme="minorHAnsi"/>
      <w:b/>
      <w:i/>
      <w:color w:val="775F55" w:themeColor="text2"/>
      <w:sz w:val="23"/>
    </w:rPr>
  </w:style>
  <w:style w:type="table" w:styleId="Tabellrutenett">
    <w:name w:val="Table Grid"/>
    <w:basedOn w:val="Vanligtabell"/>
    <w:uiPriority w:val="1"/>
    <w:pPr>
      <w:spacing w:after="0" w:line="240" w:lineRule="auto"/>
    </w:pPr>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ildeliste">
    <w:name w:val="table of authorities"/>
    <w:basedOn w:val="Normal"/>
    <w:next w:val="Normal"/>
    <w:uiPriority w:val="99"/>
    <w:semiHidden/>
    <w:unhideWhenUsed/>
    <w:pPr>
      <w:ind w:left="220" w:hanging="220"/>
    </w:pPr>
  </w:style>
  <w:style w:type="paragraph" w:styleId="INNH1">
    <w:name w:val="toc 1"/>
    <w:basedOn w:val="Normal"/>
    <w:next w:val="Normal"/>
    <w:autoRedefine/>
    <w:uiPriority w:val="99"/>
    <w:semiHidden/>
    <w:unhideWhenUsed/>
    <w:pPr>
      <w:tabs>
        <w:tab w:val="right" w:leader="dot" w:pos="8630"/>
      </w:tabs>
      <w:spacing w:before="180" w:after="40" w:line="240" w:lineRule="auto"/>
    </w:pPr>
    <w:rPr>
      <w:b/>
      <w:caps/>
      <w:color w:val="775F55" w:themeColor="text2"/>
    </w:rPr>
  </w:style>
  <w:style w:type="paragraph" w:styleId="INNH2">
    <w:name w:val="toc 2"/>
    <w:basedOn w:val="Normal"/>
    <w:next w:val="Normal"/>
    <w:autoRedefine/>
    <w:uiPriority w:val="99"/>
    <w:semiHidden/>
    <w:unhideWhenUsed/>
    <w:pPr>
      <w:tabs>
        <w:tab w:val="right" w:leader="dot" w:pos="8630"/>
      </w:tabs>
      <w:spacing w:after="40" w:line="240" w:lineRule="auto"/>
      <w:ind w:left="144"/>
    </w:pPr>
  </w:style>
  <w:style w:type="paragraph" w:styleId="INNH3">
    <w:name w:val="toc 3"/>
    <w:basedOn w:val="Normal"/>
    <w:next w:val="Normal"/>
    <w:autoRedefine/>
    <w:uiPriority w:val="99"/>
    <w:semiHidden/>
    <w:unhideWhenUsed/>
    <w:qFormat/>
    <w:pPr>
      <w:tabs>
        <w:tab w:val="right" w:leader="dot" w:pos="8630"/>
      </w:tabs>
      <w:spacing w:after="40" w:line="240" w:lineRule="auto"/>
      <w:ind w:left="288"/>
    </w:pPr>
  </w:style>
  <w:style w:type="paragraph" w:styleId="INNH4">
    <w:name w:val="toc 4"/>
    <w:basedOn w:val="Normal"/>
    <w:next w:val="Normal"/>
    <w:autoRedefine/>
    <w:uiPriority w:val="99"/>
    <w:semiHidden/>
    <w:unhideWhenUsed/>
    <w:qFormat/>
    <w:pPr>
      <w:tabs>
        <w:tab w:val="right" w:leader="dot" w:pos="8630"/>
      </w:tabs>
      <w:spacing w:after="40" w:line="240" w:lineRule="auto"/>
      <w:ind w:left="432"/>
    </w:pPr>
  </w:style>
  <w:style w:type="paragraph" w:styleId="INNH5">
    <w:name w:val="toc 5"/>
    <w:basedOn w:val="Normal"/>
    <w:next w:val="Normal"/>
    <w:autoRedefine/>
    <w:uiPriority w:val="99"/>
    <w:semiHidden/>
    <w:unhideWhenUsed/>
    <w:qFormat/>
    <w:pPr>
      <w:tabs>
        <w:tab w:val="right" w:leader="dot" w:pos="8630"/>
      </w:tabs>
      <w:spacing w:after="40" w:line="240" w:lineRule="auto"/>
      <w:ind w:left="576"/>
    </w:pPr>
  </w:style>
  <w:style w:type="paragraph" w:styleId="INNH6">
    <w:name w:val="toc 6"/>
    <w:basedOn w:val="Normal"/>
    <w:next w:val="Normal"/>
    <w:autoRedefine/>
    <w:uiPriority w:val="99"/>
    <w:semiHidden/>
    <w:unhideWhenUsed/>
    <w:qFormat/>
    <w:pPr>
      <w:tabs>
        <w:tab w:val="right" w:leader="dot" w:pos="8630"/>
      </w:tabs>
      <w:spacing w:after="40" w:line="240" w:lineRule="auto"/>
      <w:ind w:left="720"/>
    </w:pPr>
  </w:style>
  <w:style w:type="paragraph" w:styleId="INNH7">
    <w:name w:val="toc 7"/>
    <w:basedOn w:val="Normal"/>
    <w:next w:val="Normal"/>
    <w:autoRedefine/>
    <w:uiPriority w:val="99"/>
    <w:semiHidden/>
    <w:unhideWhenUsed/>
    <w:qFormat/>
    <w:pPr>
      <w:tabs>
        <w:tab w:val="right" w:leader="dot" w:pos="8630"/>
      </w:tabs>
      <w:spacing w:after="40" w:line="240" w:lineRule="auto"/>
      <w:ind w:left="864"/>
    </w:pPr>
  </w:style>
  <w:style w:type="paragraph" w:styleId="INNH8">
    <w:name w:val="toc 8"/>
    <w:basedOn w:val="Normal"/>
    <w:next w:val="Normal"/>
    <w:autoRedefine/>
    <w:uiPriority w:val="99"/>
    <w:semiHidden/>
    <w:unhideWhenUsed/>
    <w:qFormat/>
    <w:pPr>
      <w:tabs>
        <w:tab w:val="right" w:leader="dot" w:pos="8630"/>
      </w:tabs>
      <w:spacing w:after="40" w:line="240" w:lineRule="auto"/>
      <w:ind w:left="1008"/>
    </w:pPr>
  </w:style>
  <w:style w:type="paragraph" w:styleId="INNH9">
    <w:name w:val="toc 9"/>
    <w:basedOn w:val="Normal"/>
    <w:next w:val="Normal"/>
    <w:autoRedefine/>
    <w:uiPriority w:val="99"/>
    <w:semiHidden/>
    <w:unhideWhenUsed/>
    <w:qFormat/>
    <w:pPr>
      <w:tabs>
        <w:tab w:val="right" w:leader="dot" w:pos="8630"/>
      </w:tabs>
      <w:spacing w:after="40" w:line="240" w:lineRule="auto"/>
      <w:ind w:left="1152"/>
    </w:pPr>
  </w:style>
  <w:style w:type="paragraph" w:customStyle="1" w:styleId="Kategori">
    <w:name w:val="Kategori"/>
    <w:basedOn w:val="Normal"/>
    <w:uiPriority w:val="49"/>
    <w:pPr>
      <w:spacing w:after="0"/>
    </w:pPr>
    <w:rPr>
      <w:b/>
      <w:sz w:val="24"/>
      <w:szCs w:val="24"/>
    </w:rPr>
  </w:style>
  <w:style w:type="paragraph" w:customStyle="1" w:styleId="Firmanavn">
    <w:name w:val="Firmanavn"/>
    <w:basedOn w:val="Normal"/>
    <w:uiPriority w:val="49"/>
    <w:pPr>
      <w:spacing w:after="0"/>
    </w:pPr>
    <w:rPr>
      <w:rFonts w:cstheme="minorBidi"/>
      <w:sz w:val="36"/>
      <w:szCs w:val="36"/>
    </w:rPr>
  </w:style>
  <w:style w:type="paragraph" w:customStyle="1" w:styleId="Bunntekstpartallsside">
    <w:name w:val="Bunntekst partallsside"/>
    <w:basedOn w:val="Normal"/>
    <w:unhideWhenUsed/>
    <w:qFormat/>
    <w:pPr>
      <w:pBdr>
        <w:top w:val="single" w:sz="4" w:space="1" w:color="94B6D2" w:themeColor="accent1"/>
      </w:pBdr>
    </w:pPr>
    <w:rPr>
      <w:color w:val="775F55" w:themeColor="text2"/>
      <w:sz w:val="20"/>
    </w:rPr>
  </w:style>
  <w:style w:type="paragraph" w:customStyle="1" w:styleId="Bunntekstoddetallsside">
    <w:name w:val="Bunntekst oddetallsside"/>
    <w:basedOn w:val="Normal"/>
    <w:unhideWhenUsed/>
    <w:qFormat/>
    <w:pPr>
      <w:pBdr>
        <w:top w:val="single" w:sz="4" w:space="1" w:color="94B6D2" w:themeColor="accent1"/>
      </w:pBdr>
      <w:jc w:val="right"/>
    </w:pPr>
    <w:rPr>
      <w:color w:val="775F55" w:themeColor="text2"/>
      <w:sz w:val="20"/>
    </w:rPr>
  </w:style>
  <w:style w:type="paragraph" w:customStyle="1" w:styleId="Topptekstpartallsside">
    <w:name w:val="Topptekst partallsside"/>
    <w:basedOn w:val="Normal"/>
    <w:unhideWhenUsed/>
    <w:qFormat/>
    <w:pPr>
      <w:pBdr>
        <w:bottom w:val="single" w:sz="4" w:space="1" w:color="94B6D2" w:themeColor="accent1"/>
      </w:pBdr>
      <w:spacing w:after="0" w:line="240" w:lineRule="auto"/>
    </w:pPr>
    <w:rPr>
      <w:rFonts w:eastAsia="Times New Roman"/>
      <w:b/>
      <w:color w:val="775F55" w:themeColor="text2"/>
      <w:sz w:val="20"/>
    </w:rPr>
  </w:style>
  <w:style w:type="paragraph" w:customStyle="1" w:styleId="Topptekstoddetallsside">
    <w:name w:val="Topptekst oddetallsside"/>
    <w:basedOn w:val="Normal"/>
    <w:unhideWhenUsed/>
    <w:qFormat/>
    <w:pPr>
      <w:pBdr>
        <w:bottom w:val="single" w:sz="4" w:space="1" w:color="94B6D2" w:themeColor="accent1"/>
      </w:pBdr>
      <w:spacing w:after="0" w:line="240" w:lineRule="auto"/>
      <w:jc w:val="right"/>
    </w:pPr>
    <w:rPr>
      <w:rFonts w:eastAsia="Times New Roman"/>
      <w:b/>
      <w:color w:val="775F55" w:themeColor="text2"/>
      <w:sz w:val="20"/>
    </w:rPr>
  </w:style>
  <w:style w:type="paragraph" w:customStyle="1" w:styleId="IngenMellomrom0">
    <w:name w:val="IngenMellomrom"/>
    <w:basedOn w:val="Normal"/>
    <w:qFormat/>
    <w:pPr>
      <w:framePr w:wrap="auto" w:hAnchor="page" w:xAlign="center" w:yAlign="top"/>
      <w:spacing w:after="0" w:line="240" w:lineRule="auto"/>
      <w:suppressOverlap/>
    </w:pPr>
    <w:rPr>
      <w:szCs w:val="120"/>
    </w:rPr>
  </w:style>
  <w:style w:type="paragraph" w:customStyle="1" w:styleId="Default">
    <w:name w:val="Default"/>
    <w:rsid w:val="00D91A30"/>
    <w:pPr>
      <w:autoSpaceDE w:val="0"/>
      <w:autoSpaceDN w:val="0"/>
      <w:adjustRightInd w:val="0"/>
      <w:spacing w:after="0" w:line="240" w:lineRule="auto"/>
    </w:pPr>
    <w:rPr>
      <w:rFonts w:ascii="Calibri" w:hAnsi="Calibri" w:cs="Calibri"/>
      <w:color w:val="000000"/>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AppData\Roaming\Microsoft\Maler\Median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BS2011\Felles\EMBALLASJEFORSK\Forskningsinstitusjonene_konfidensiell%20mappe\2015\Prosjektoversikt_1997_2015_31.12.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BS2011\Felles\EMBALLASJEFORSK\Forskningsinstitusjonene_konfidensiell%20mappe\2015\Prosjektoversikt_1997_2015_31.12.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'2015'!$A$39</c:f>
              <c:strCache>
                <c:ptCount val="1"/>
                <c:pt idx="0">
                  <c:v>Industri</c:v>
                </c:pt>
              </c:strCache>
            </c:strRef>
          </c:tx>
          <c:spPr>
            <a:solidFill>
              <a:schemeClr val="accent1"/>
            </a:solidFill>
            <a:ln>
              <a:noFill/>
            </a:ln>
            <a:effectLst/>
          </c:spPr>
          <c:invertIfNegative val="0"/>
          <c:cat>
            <c:strRef>
              <c:f>'2015'!$B$38:$K$38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'2015'!$B$39:$K$39</c:f>
              <c:numCache>
                <c:formatCode>General</c:formatCode>
                <c:ptCount val="10"/>
                <c:pt idx="0">
                  <c:v>1514</c:v>
                </c:pt>
                <c:pt idx="1">
                  <c:v>1940</c:v>
                </c:pt>
                <c:pt idx="2">
                  <c:v>2540</c:v>
                </c:pt>
                <c:pt idx="3">
                  <c:v>600</c:v>
                </c:pt>
                <c:pt idx="4">
                  <c:v>450</c:v>
                </c:pt>
                <c:pt idx="5">
                  <c:v>600</c:v>
                </c:pt>
                <c:pt idx="6">
                  <c:v>800</c:v>
                </c:pt>
                <c:pt idx="7">
                  <c:v>1450</c:v>
                </c:pt>
                <c:pt idx="8">
                  <c:v>1450</c:v>
                </c:pt>
                <c:pt idx="9">
                  <c:v>1450</c:v>
                </c:pt>
              </c:numCache>
            </c:numRef>
          </c:val>
          <c:extLst>
            <c:ext xmlns:c16="http://schemas.microsoft.com/office/drawing/2014/chart" uri="{C3380CC4-5D6E-409C-BE32-E72D297353CC}">
              <c16:uniqueId val="{00000000-B25F-41AB-BE68-74A6C964A163}"/>
            </c:ext>
          </c:extLst>
        </c:ser>
        <c:ser>
          <c:idx val="1"/>
          <c:order val="1"/>
          <c:tx>
            <c:strRef>
              <c:f>'2015'!$A$40</c:f>
              <c:strCache>
                <c:ptCount val="1"/>
                <c:pt idx="0">
                  <c:v>Innovasjonsprosjekt for næringen - IPN</c:v>
                </c:pt>
              </c:strCache>
            </c:strRef>
          </c:tx>
          <c:spPr>
            <a:solidFill>
              <a:schemeClr val="accent2"/>
            </a:solidFill>
            <a:ln>
              <a:noFill/>
            </a:ln>
            <a:effectLst/>
          </c:spPr>
          <c:invertIfNegative val="0"/>
          <c:cat>
            <c:strRef>
              <c:f>'2015'!$B$38:$K$38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'2015'!$B$40:$K$40</c:f>
              <c:numCache>
                <c:formatCode>General</c:formatCode>
                <c:ptCount val="10"/>
                <c:pt idx="0">
                  <c:v>21664</c:v>
                </c:pt>
                <c:pt idx="1">
                  <c:v>54545</c:v>
                </c:pt>
                <c:pt idx="2">
                  <c:v>47316</c:v>
                </c:pt>
                <c:pt idx="3">
                  <c:v>41208</c:v>
                </c:pt>
                <c:pt idx="4">
                  <c:v>20691</c:v>
                </c:pt>
                <c:pt idx="5">
                  <c:v>18046</c:v>
                </c:pt>
                <c:pt idx="6">
                  <c:v>14750</c:v>
                </c:pt>
                <c:pt idx="7">
                  <c:v>13522</c:v>
                </c:pt>
                <c:pt idx="8">
                  <c:v>16662</c:v>
                </c:pt>
                <c:pt idx="9">
                  <c:v>40031</c:v>
                </c:pt>
              </c:numCache>
            </c:numRef>
          </c:val>
          <c:extLst>
            <c:ext xmlns:c16="http://schemas.microsoft.com/office/drawing/2014/chart" uri="{C3380CC4-5D6E-409C-BE32-E72D297353CC}">
              <c16:uniqueId val="{00000001-B25F-41AB-BE68-74A6C964A163}"/>
            </c:ext>
          </c:extLst>
        </c:ser>
        <c:ser>
          <c:idx val="2"/>
          <c:order val="2"/>
          <c:tx>
            <c:strRef>
              <c:f>'2015'!$A$41</c:f>
              <c:strCache>
                <c:ptCount val="1"/>
                <c:pt idx="0">
                  <c:v>Kompetanseprosjekt -KPN</c:v>
                </c:pt>
              </c:strCache>
            </c:strRef>
          </c:tx>
          <c:spPr>
            <a:solidFill>
              <a:schemeClr val="accent3"/>
            </a:solidFill>
            <a:ln>
              <a:noFill/>
            </a:ln>
            <a:effectLst/>
          </c:spPr>
          <c:invertIfNegative val="0"/>
          <c:cat>
            <c:strRef>
              <c:f>'2015'!$B$38:$K$38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'2015'!$B$41:$K$41</c:f>
              <c:numCache>
                <c:formatCode>General</c:formatCode>
                <c:ptCount val="10"/>
                <c:pt idx="0">
                  <c:v>408</c:v>
                </c:pt>
                <c:pt idx="1">
                  <c:v>800</c:v>
                </c:pt>
                <c:pt idx="2">
                  <c:v>4400</c:v>
                </c:pt>
                <c:pt idx="3">
                  <c:v>4633</c:v>
                </c:pt>
                <c:pt idx="4">
                  <c:v>4358</c:v>
                </c:pt>
                <c:pt idx="5">
                  <c:v>9338</c:v>
                </c:pt>
                <c:pt idx="6">
                  <c:v>9458</c:v>
                </c:pt>
                <c:pt idx="7">
                  <c:v>4000</c:v>
                </c:pt>
                <c:pt idx="8">
                  <c:v>4500</c:v>
                </c:pt>
                <c:pt idx="9">
                  <c:v>500</c:v>
                </c:pt>
              </c:numCache>
            </c:numRef>
          </c:val>
          <c:extLst>
            <c:ext xmlns:c16="http://schemas.microsoft.com/office/drawing/2014/chart" uri="{C3380CC4-5D6E-409C-BE32-E72D297353CC}">
              <c16:uniqueId val="{00000002-B25F-41AB-BE68-74A6C964A163}"/>
            </c:ext>
          </c:extLst>
        </c:ser>
        <c:ser>
          <c:idx val="3"/>
          <c:order val="3"/>
          <c:tx>
            <c:strRef>
              <c:f>'2015'!$A$42</c:f>
              <c:strCache>
                <c:ptCount val="1"/>
                <c:pt idx="0">
                  <c:v>EU/EØS</c:v>
                </c:pt>
              </c:strCache>
            </c:strRef>
          </c:tx>
          <c:spPr>
            <a:solidFill>
              <a:schemeClr val="accent4"/>
            </a:solidFill>
            <a:ln>
              <a:noFill/>
            </a:ln>
            <a:effectLst/>
          </c:spPr>
          <c:invertIfNegative val="0"/>
          <c:cat>
            <c:strRef>
              <c:f>'2015'!$B$38:$K$38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'2015'!$B$42:$K$42</c:f>
              <c:numCache>
                <c:formatCode>General</c:formatCode>
                <c:ptCount val="10"/>
                <c:pt idx="0">
                  <c:v>0</c:v>
                </c:pt>
                <c:pt idx="1">
                  <c:v>357</c:v>
                </c:pt>
                <c:pt idx="2">
                  <c:v>3020</c:v>
                </c:pt>
                <c:pt idx="3">
                  <c:v>5118</c:v>
                </c:pt>
                <c:pt idx="4">
                  <c:v>4831</c:v>
                </c:pt>
                <c:pt idx="5">
                  <c:v>4503</c:v>
                </c:pt>
                <c:pt idx="6">
                  <c:v>8422</c:v>
                </c:pt>
                <c:pt idx="7">
                  <c:v>10172</c:v>
                </c:pt>
                <c:pt idx="8">
                  <c:v>10848</c:v>
                </c:pt>
                <c:pt idx="9">
                  <c:v>10287</c:v>
                </c:pt>
              </c:numCache>
            </c:numRef>
          </c:val>
          <c:extLst>
            <c:ext xmlns:c16="http://schemas.microsoft.com/office/drawing/2014/chart" uri="{C3380CC4-5D6E-409C-BE32-E72D297353CC}">
              <c16:uniqueId val="{00000003-B25F-41AB-BE68-74A6C964A163}"/>
            </c:ext>
          </c:extLst>
        </c:ser>
        <c:ser>
          <c:idx val="4"/>
          <c:order val="4"/>
          <c:tx>
            <c:strRef>
              <c:f>'2015'!$A$43</c:f>
              <c:strCache>
                <c:ptCount val="1"/>
                <c:pt idx="0">
                  <c:v>Strategisk Instituttprogram - SIP</c:v>
                </c:pt>
              </c:strCache>
            </c:strRef>
          </c:tx>
          <c:spPr>
            <a:solidFill>
              <a:schemeClr val="accent5"/>
            </a:solidFill>
            <a:ln>
              <a:noFill/>
            </a:ln>
            <a:effectLst/>
          </c:spPr>
          <c:invertIfNegative val="0"/>
          <c:cat>
            <c:strRef>
              <c:f>'2015'!$B$38:$K$38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'2015'!$B$43:$K$43</c:f>
              <c:numCache>
                <c:formatCode>General</c:formatCode>
                <c:ptCount val="10"/>
                <c:pt idx="0">
                  <c:v>0</c:v>
                </c:pt>
                <c:pt idx="1">
                  <c:v>0</c:v>
                </c:pt>
                <c:pt idx="2">
                  <c:v>3500</c:v>
                </c:pt>
                <c:pt idx="3">
                  <c:v>3500</c:v>
                </c:pt>
                <c:pt idx="4">
                  <c:v>3700</c:v>
                </c:pt>
                <c:pt idx="5">
                  <c:v>3900</c:v>
                </c:pt>
                <c:pt idx="6">
                  <c:v>4960</c:v>
                </c:pt>
                <c:pt idx="7">
                  <c:v>6630</c:v>
                </c:pt>
                <c:pt idx="8">
                  <c:v>6106</c:v>
                </c:pt>
                <c:pt idx="9">
                  <c:v>6170</c:v>
                </c:pt>
              </c:numCache>
            </c:numRef>
          </c:val>
          <c:extLst>
            <c:ext xmlns:c16="http://schemas.microsoft.com/office/drawing/2014/chart" uri="{C3380CC4-5D6E-409C-BE32-E72D297353CC}">
              <c16:uniqueId val="{00000004-B25F-41AB-BE68-74A6C964A163}"/>
            </c:ext>
          </c:extLst>
        </c:ser>
        <c:ser>
          <c:idx val="5"/>
          <c:order val="5"/>
          <c:tx>
            <c:strRef>
              <c:f>'2015'!$A$44</c:f>
              <c:strCache>
                <c:ptCount val="1"/>
                <c:pt idx="0">
                  <c:v>Andre</c:v>
                </c:pt>
              </c:strCache>
            </c:strRef>
          </c:tx>
          <c:spPr>
            <a:solidFill>
              <a:schemeClr val="accent6"/>
            </a:solidFill>
            <a:ln>
              <a:noFill/>
            </a:ln>
            <a:effectLst/>
          </c:spPr>
          <c:invertIfNegative val="0"/>
          <c:cat>
            <c:strRef>
              <c:f>'2015'!$B$38:$K$38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'2015'!$B$44:$K$44</c:f>
              <c:numCache>
                <c:formatCode>General</c:formatCode>
                <c:ptCount val="10"/>
                <c:pt idx="0">
                  <c:v>300</c:v>
                </c:pt>
                <c:pt idx="1">
                  <c:v>250</c:v>
                </c:pt>
                <c:pt idx="2">
                  <c:v>1015</c:v>
                </c:pt>
                <c:pt idx="3">
                  <c:v>0</c:v>
                </c:pt>
                <c:pt idx="4">
                  <c:v>1700</c:v>
                </c:pt>
                <c:pt idx="5">
                  <c:v>650</c:v>
                </c:pt>
                <c:pt idx="6">
                  <c:v>1640</c:v>
                </c:pt>
                <c:pt idx="7">
                  <c:v>310</c:v>
                </c:pt>
                <c:pt idx="8">
                  <c:v>0</c:v>
                </c:pt>
                <c:pt idx="9">
                  <c:v>1285</c:v>
                </c:pt>
              </c:numCache>
            </c:numRef>
          </c:val>
          <c:extLst>
            <c:ext xmlns:c16="http://schemas.microsoft.com/office/drawing/2014/chart" uri="{C3380CC4-5D6E-409C-BE32-E72D297353CC}">
              <c16:uniqueId val="{00000005-B25F-41AB-BE68-74A6C964A163}"/>
            </c:ext>
          </c:extLst>
        </c:ser>
        <c:dLbls>
          <c:showLegendKey val="0"/>
          <c:showVal val="0"/>
          <c:showCatName val="0"/>
          <c:showSerName val="0"/>
          <c:showPercent val="0"/>
          <c:showBubbleSize val="0"/>
        </c:dLbls>
        <c:gapWidth val="150"/>
        <c:overlap val="100"/>
        <c:axId val="75988992"/>
        <c:axId val="91308032"/>
      </c:barChart>
      <c:catAx>
        <c:axId val="7598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91308032"/>
        <c:crosses val="autoZero"/>
        <c:auto val="1"/>
        <c:lblAlgn val="ctr"/>
        <c:lblOffset val="100"/>
        <c:noMultiLvlLbl val="0"/>
      </c:catAx>
      <c:valAx>
        <c:axId val="9130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7598899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'2015'!$A$49</c:f>
              <c:strCache>
                <c:ptCount val="1"/>
                <c:pt idx="0">
                  <c:v>Norges Forskningsråd - NFR</c:v>
                </c:pt>
              </c:strCache>
            </c:strRef>
          </c:tx>
          <c:spPr>
            <a:solidFill>
              <a:schemeClr val="accent1"/>
            </a:solidFill>
            <a:ln>
              <a:noFill/>
            </a:ln>
            <a:effectLst/>
          </c:spPr>
          <c:invertIfNegative val="0"/>
          <c:cat>
            <c:strRef>
              <c:f>'2015'!$B$48:$K$48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'2015'!$B$49:$K$49</c:f>
              <c:numCache>
                <c:formatCode>General</c:formatCode>
                <c:ptCount val="10"/>
                <c:pt idx="0">
                  <c:v>6945</c:v>
                </c:pt>
                <c:pt idx="1">
                  <c:v>18211</c:v>
                </c:pt>
                <c:pt idx="2">
                  <c:v>22036</c:v>
                </c:pt>
                <c:pt idx="3">
                  <c:v>18953</c:v>
                </c:pt>
                <c:pt idx="4">
                  <c:v>14673</c:v>
                </c:pt>
                <c:pt idx="5">
                  <c:v>12262</c:v>
                </c:pt>
                <c:pt idx="6">
                  <c:v>10803</c:v>
                </c:pt>
                <c:pt idx="7">
                  <c:v>8021</c:v>
                </c:pt>
                <c:pt idx="8">
                  <c:v>6158</c:v>
                </c:pt>
                <c:pt idx="9">
                  <c:v>12808</c:v>
                </c:pt>
              </c:numCache>
            </c:numRef>
          </c:val>
          <c:extLst>
            <c:ext xmlns:c16="http://schemas.microsoft.com/office/drawing/2014/chart" uri="{C3380CC4-5D6E-409C-BE32-E72D297353CC}">
              <c16:uniqueId val="{00000000-FDEC-4BDC-B278-E7109A0219B9}"/>
            </c:ext>
          </c:extLst>
        </c:ser>
        <c:ser>
          <c:idx val="1"/>
          <c:order val="1"/>
          <c:tx>
            <c:strRef>
              <c:f>'2015'!$A$50</c:f>
              <c:strCache>
                <c:ptCount val="1"/>
                <c:pt idx="0">
                  <c:v>Finansiering fra industrien - Ind</c:v>
                </c:pt>
              </c:strCache>
            </c:strRef>
          </c:tx>
          <c:spPr>
            <a:solidFill>
              <a:schemeClr val="accent2"/>
            </a:solidFill>
            <a:ln>
              <a:noFill/>
            </a:ln>
            <a:effectLst/>
          </c:spPr>
          <c:invertIfNegative val="0"/>
          <c:cat>
            <c:strRef>
              <c:f>'2015'!$B$48:$K$48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'2015'!$B$50:$K$50</c:f>
              <c:numCache>
                <c:formatCode>General</c:formatCode>
                <c:ptCount val="10"/>
                <c:pt idx="0">
                  <c:v>14871</c:v>
                </c:pt>
                <c:pt idx="1">
                  <c:v>36925</c:v>
                </c:pt>
                <c:pt idx="2">
                  <c:v>31938</c:v>
                </c:pt>
                <c:pt idx="3">
                  <c:v>28467</c:v>
                </c:pt>
                <c:pt idx="4">
                  <c:v>13905</c:v>
                </c:pt>
                <c:pt idx="5">
                  <c:v>14441</c:v>
                </c:pt>
                <c:pt idx="6">
                  <c:v>11629</c:v>
                </c:pt>
                <c:pt idx="7">
                  <c:v>10140</c:v>
                </c:pt>
                <c:pt idx="8">
                  <c:v>11428</c:v>
                </c:pt>
                <c:pt idx="9">
                  <c:v>24287</c:v>
                </c:pt>
              </c:numCache>
            </c:numRef>
          </c:val>
          <c:extLst>
            <c:ext xmlns:c16="http://schemas.microsoft.com/office/drawing/2014/chart" uri="{C3380CC4-5D6E-409C-BE32-E72D297353CC}">
              <c16:uniqueId val="{00000001-FDEC-4BDC-B278-E7109A0219B9}"/>
            </c:ext>
          </c:extLst>
        </c:ser>
        <c:ser>
          <c:idx val="2"/>
          <c:order val="2"/>
          <c:tx>
            <c:strRef>
              <c:f>'2015'!$A$51</c:f>
              <c:strCache>
                <c:ptCount val="1"/>
                <c:pt idx="0">
                  <c:v>EU</c:v>
                </c:pt>
              </c:strCache>
            </c:strRef>
          </c:tx>
          <c:spPr>
            <a:solidFill>
              <a:schemeClr val="accent3"/>
            </a:solidFill>
            <a:ln>
              <a:noFill/>
            </a:ln>
            <a:effectLst/>
          </c:spPr>
          <c:invertIfNegative val="0"/>
          <c:cat>
            <c:strRef>
              <c:f>'2015'!$B$48:$K$48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'2015'!$B$51:$K$51</c:f>
              <c:numCache>
                <c:formatCode>General</c:formatCode>
                <c:ptCount val="10"/>
                <c:pt idx="0">
                  <c:v>0</c:v>
                </c:pt>
                <c:pt idx="1">
                  <c:v>357</c:v>
                </c:pt>
                <c:pt idx="2">
                  <c:v>1363</c:v>
                </c:pt>
                <c:pt idx="3">
                  <c:v>3539</c:v>
                </c:pt>
                <c:pt idx="4">
                  <c:v>3252</c:v>
                </c:pt>
                <c:pt idx="5">
                  <c:v>2924</c:v>
                </c:pt>
                <c:pt idx="6">
                  <c:v>6654</c:v>
                </c:pt>
                <c:pt idx="7">
                  <c:v>8404</c:v>
                </c:pt>
                <c:pt idx="8">
                  <c:v>10552</c:v>
                </c:pt>
                <c:pt idx="9">
                  <c:v>8809</c:v>
                </c:pt>
              </c:numCache>
            </c:numRef>
          </c:val>
          <c:extLst>
            <c:ext xmlns:c16="http://schemas.microsoft.com/office/drawing/2014/chart" uri="{C3380CC4-5D6E-409C-BE32-E72D297353CC}">
              <c16:uniqueId val="{00000002-FDEC-4BDC-B278-E7109A0219B9}"/>
            </c:ext>
          </c:extLst>
        </c:ser>
        <c:ser>
          <c:idx val="3"/>
          <c:order val="3"/>
          <c:tx>
            <c:strRef>
              <c:f>'2015'!$A$52</c:f>
              <c:strCache>
                <c:ptCount val="1"/>
                <c:pt idx="0">
                  <c:v>FI/Univ</c:v>
                </c:pt>
              </c:strCache>
            </c:strRef>
          </c:tx>
          <c:spPr>
            <a:solidFill>
              <a:schemeClr val="accent4"/>
            </a:solidFill>
            <a:ln>
              <a:noFill/>
            </a:ln>
            <a:effectLst/>
          </c:spPr>
          <c:invertIfNegative val="0"/>
          <c:cat>
            <c:strRef>
              <c:f>'2015'!$B$48:$K$48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'2015'!$B$52:$K$52</c:f>
              <c:numCache>
                <c:formatCode>General</c:formatCode>
                <c:ptCount val="10"/>
                <c:pt idx="0">
                  <c:v>300</c:v>
                </c:pt>
                <c:pt idx="1">
                  <c:v>0</c:v>
                </c:pt>
                <c:pt idx="2">
                  <c:v>78</c:v>
                </c:pt>
                <c:pt idx="3">
                  <c:v>0</c:v>
                </c:pt>
                <c:pt idx="4">
                  <c:v>0</c:v>
                </c:pt>
                <c:pt idx="5">
                  <c:v>0</c:v>
                </c:pt>
                <c:pt idx="6">
                  <c:v>1214</c:v>
                </c:pt>
                <c:pt idx="7">
                  <c:v>1214</c:v>
                </c:pt>
                <c:pt idx="8">
                  <c:v>1214</c:v>
                </c:pt>
                <c:pt idx="9">
                  <c:v>1214</c:v>
                </c:pt>
              </c:numCache>
            </c:numRef>
          </c:val>
          <c:extLst>
            <c:ext xmlns:c16="http://schemas.microsoft.com/office/drawing/2014/chart" uri="{C3380CC4-5D6E-409C-BE32-E72D297353CC}">
              <c16:uniqueId val="{00000003-FDEC-4BDC-B278-E7109A0219B9}"/>
            </c:ext>
          </c:extLst>
        </c:ser>
        <c:ser>
          <c:idx val="4"/>
          <c:order val="4"/>
          <c:tx>
            <c:strRef>
              <c:f>'2015'!$A$53</c:f>
              <c:strCache>
                <c:ptCount val="1"/>
                <c:pt idx="0">
                  <c:v>Andre</c:v>
                </c:pt>
              </c:strCache>
            </c:strRef>
          </c:tx>
          <c:spPr>
            <a:solidFill>
              <a:schemeClr val="accent5"/>
            </a:solidFill>
            <a:ln>
              <a:noFill/>
            </a:ln>
            <a:effectLst/>
          </c:spPr>
          <c:invertIfNegative val="0"/>
          <c:cat>
            <c:strRef>
              <c:f>'2015'!$B$48:$K$48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'2015'!$B$53:$K$53</c:f>
              <c:numCache>
                <c:formatCode>General</c:formatCode>
                <c:ptCount val="10"/>
                <c:pt idx="0">
                  <c:v>1770</c:v>
                </c:pt>
                <c:pt idx="1">
                  <c:v>2399</c:v>
                </c:pt>
                <c:pt idx="2">
                  <c:v>2875</c:v>
                </c:pt>
                <c:pt idx="3">
                  <c:v>600</c:v>
                </c:pt>
                <c:pt idx="4">
                  <c:v>200</c:v>
                </c:pt>
                <c:pt idx="5">
                  <c:v>0</c:v>
                </c:pt>
                <c:pt idx="6">
                  <c:v>1140</c:v>
                </c:pt>
                <c:pt idx="7">
                  <c:v>345</c:v>
                </c:pt>
                <c:pt idx="8">
                  <c:v>0</c:v>
                </c:pt>
                <c:pt idx="9">
                  <c:v>1285</c:v>
                </c:pt>
              </c:numCache>
            </c:numRef>
          </c:val>
          <c:extLst>
            <c:ext xmlns:c16="http://schemas.microsoft.com/office/drawing/2014/chart" uri="{C3380CC4-5D6E-409C-BE32-E72D297353CC}">
              <c16:uniqueId val="{00000004-FDEC-4BDC-B278-E7109A0219B9}"/>
            </c:ext>
          </c:extLst>
        </c:ser>
        <c:ser>
          <c:idx val="5"/>
          <c:order val="5"/>
          <c:tx>
            <c:strRef>
              <c:f>'2015'!$A$54</c:f>
              <c:strCache>
                <c:ptCount val="1"/>
                <c:pt idx="0">
                  <c:v>Matfondet - FFL</c:v>
                </c:pt>
              </c:strCache>
            </c:strRef>
          </c:tx>
          <c:spPr>
            <a:solidFill>
              <a:schemeClr val="accent6"/>
            </a:solidFill>
            <a:ln>
              <a:noFill/>
            </a:ln>
            <a:effectLst/>
          </c:spPr>
          <c:invertIfNegative val="0"/>
          <c:cat>
            <c:strRef>
              <c:f>'2015'!$B$48:$K$48</c:f>
              <c:strCache>
                <c:ptCount val="10"/>
                <c:pt idx="0">
                  <c:v>2002-2006</c:v>
                </c:pt>
                <c:pt idx="1">
                  <c:v>2007</c:v>
                </c:pt>
                <c:pt idx="2">
                  <c:v>2008</c:v>
                </c:pt>
                <c:pt idx="3">
                  <c:v>2009</c:v>
                </c:pt>
                <c:pt idx="4">
                  <c:v>2010</c:v>
                </c:pt>
                <c:pt idx="5">
                  <c:v>2011</c:v>
                </c:pt>
                <c:pt idx="6">
                  <c:v>2012</c:v>
                </c:pt>
                <c:pt idx="7">
                  <c:v>2013</c:v>
                </c:pt>
                <c:pt idx="8">
                  <c:v>2014</c:v>
                </c:pt>
                <c:pt idx="9">
                  <c:v>2015</c:v>
                </c:pt>
              </c:strCache>
            </c:strRef>
          </c:cat>
          <c:val>
            <c:numRef>
              <c:f>'2015'!$B$54:$K$54</c:f>
              <c:numCache>
                <c:formatCode>General</c:formatCode>
                <c:ptCount val="10"/>
                <c:pt idx="2">
                  <c:v>3500</c:v>
                </c:pt>
                <c:pt idx="3">
                  <c:v>3500</c:v>
                </c:pt>
                <c:pt idx="4">
                  <c:v>3700</c:v>
                </c:pt>
                <c:pt idx="5">
                  <c:v>7410</c:v>
                </c:pt>
                <c:pt idx="6">
                  <c:v>8590</c:v>
                </c:pt>
                <c:pt idx="7">
                  <c:v>9160</c:v>
                </c:pt>
                <c:pt idx="8">
                  <c:v>11686</c:v>
                </c:pt>
                <c:pt idx="9">
                  <c:v>11320</c:v>
                </c:pt>
              </c:numCache>
            </c:numRef>
          </c:val>
          <c:extLst>
            <c:ext xmlns:c16="http://schemas.microsoft.com/office/drawing/2014/chart" uri="{C3380CC4-5D6E-409C-BE32-E72D297353CC}">
              <c16:uniqueId val="{00000005-FDEC-4BDC-B278-E7109A0219B9}"/>
            </c:ext>
          </c:extLst>
        </c:ser>
        <c:dLbls>
          <c:showLegendKey val="0"/>
          <c:showVal val="0"/>
          <c:showCatName val="0"/>
          <c:showSerName val="0"/>
          <c:showPercent val="0"/>
          <c:showBubbleSize val="0"/>
        </c:dLbls>
        <c:gapWidth val="150"/>
        <c:overlap val="100"/>
        <c:axId val="128172416"/>
        <c:axId val="128174336"/>
      </c:barChart>
      <c:catAx>
        <c:axId val="12817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28174336"/>
        <c:crosses val="autoZero"/>
        <c:auto val="1"/>
        <c:lblAlgn val="ctr"/>
        <c:lblOffset val="100"/>
        <c:noMultiLvlLbl val="0"/>
      </c:catAx>
      <c:valAx>
        <c:axId val="12817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2817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FE8F7994A94D4A845DC814399D1368"/>
        <w:category>
          <w:name w:val="Generelt"/>
          <w:gallery w:val="placeholder"/>
        </w:category>
        <w:types>
          <w:type w:val="bbPlcHdr"/>
        </w:types>
        <w:behaviors>
          <w:behavior w:val="content"/>
        </w:behaviors>
        <w:guid w:val="{64D641C0-685B-4286-8868-7CDA7C8F5280}"/>
      </w:docPartPr>
      <w:docPartBody>
        <w:p w:rsidR="00527B5A" w:rsidRDefault="00527B5A">
          <w:pPr>
            <w:pStyle w:val="E9FE8F7994A94D4A845DC814399D1368"/>
          </w:pPr>
          <w:r>
            <w:rPr>
              <w:rFonts w:asciiTheme="majorHAnsi" w:eastAsiaTheme="majorEastAsia" w:hAnsiTheme="majorHAnsi" w:cstheme="majorBidi"/>
              <w:caps/>
              <w:color w:val="44546A" w:themeColor="text2"/>
              <w:sz w:val="110"/>
              <w:szCs w:val="110"/>
            </w:rPr>
            <w:t>[Skriv inn tittel]</w:t>
          </w:r>
        </w:p>
      </w:docPartBody>
    </w:docPart>
    <w:docPart>
      <w:docPartPr>
        <w:name w:val="C291F3E71C18466098F3B6591F39E800"/>
        <w:category>
          <w:name w:val="Generelt"/>
          <w:gallery w:val="placeholder"/>
        </w:category>
        <w:types>
          <w:type w:val="bbPlcHdr"/>
        </w:types>
        <w:behaviors>
          <w:behavior w:val="content"/>
        </w:behaviors>
        <w:guid w:val="{B185F4EE-DA95-4E32-9144-248B0C4F6FF2}"/>
      </w:docPartPr>
      <w:docPartBody>
        <w:p w:rsidR="00527B5A" w:rsidRDefault="00527B5A">
          <w:pPr>
            <w:pStyle w:val="C291F3E71C18466098F3B6591F39E800"/>
          </w:pPr>
          <w:r>
            <w:rPr>
              <w:color w:val="FFFFFF" w:themeColor="background1"/>
              <w:sz w:val="40"/>
              <w:szCs w:val="40"/>
            </w:rPr>
            <w:t>[Skriv inn undertittel for dokumentet]</w:t>
          </w:r>
        </w:p>
      </w:docPartBody>
    </w:docPart>
    <w:docPart>
      <w:docPartPr>
        <w:name w:val="94B62B6A298A4F32AD6F5F3481984A32"/>
        <w:category>
          <w:name w:val="Generelt"/>
          <w:gallery w:val="placeholder"/>
        </w:category>
        <w:types>
          <w:type w:val="bbPlcHdr"/>
        </w:types>
        <w:behaviors>
          <w:behavior w:val="content"/>
        </w:behaviors>
        <w:guid w:val="{A1182225-0D8D-410F-8476-1BE5806EEA21}"/>
      </w:docPartPr>
      <w:docPartBody>
        <w:p w:rsidR="00527B5A" w:rsidRDefault="00527B5A">
          <w:pPr>
            <w:pStyle w:val="94B62B6A298A4F32AD6F5F3481984A32"/>
          </w:pPr>
          <w:r>
            <w:t>[Skriv inn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5A"/>
    <w:rsid w:val="00527B5A"/>
    <w:rsid w:val="00C822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unhideWhenUsed/>
    <w:qFormat/>
    <w:pPr>
      <w:spacing w:before="300" w:after="80" w:line="240" w:lineRule="auto"/>
      <w:outlineLvl w:val="0"/>
    </w:pPr>
    <w:rPr>
      <w:rFonts w:asciiTheme="majorHAnsi" w:eastAsiaTheme="minorHAnsi" w:hAnsiTheme="majorHAnsi" w:cs="Times New Roman"/>
      <w:caps/>
      <w:color w:val="44546A" w:themeColor="text2"/>
      <w:kern w:val="24"/>
      <w:sz w:val="32"/>
      <w:szCs w:val="32"/>
    </w:rPr>
  </w:style>
  <w:style w:type="paragraph" w:styleId="Overskrift2">
    <w:name w:val="heading 2"/>
    <w:basedOn w:val="Normal"/>
    <w:next w:val="Normal"/>
    <w:link w:val="Overskrift2Tegn"/>
    <w:uiPriority w:val="9"/>
    <w:unhideWhenUsed/>
    <w:qFormat/>
    <w:pPr>
      <w:spacing w:before="240" w:after="80" w:line="264" w:lineRule="auto"/>
      <w:outlineLvl w:val="1"/>
    </w:pPr>
    <w:rPr>
      <w:rFonts w:eastAsiaTheme="minorHAnsi" w:cs="Times New Roman"/>
      <w:b/>
      <w:color w:val="5B9BD5" w:themeColor="accent1"/>
      <w:spacing w:val="20"/>
      <w:kern w:val="24"/>
      <w:sz w:val="28"/>
      <w:szCs w:val="28"/>
    </w:rPr>
  </w:style>
  <w:style w:type="paragraph" w:styleId="Overskrift3">
    <w:name w:val="heading 3"/>
    <w:basedOn w:val="Normal"/>
    <w:next w:val="Normal"/>
    <w:link w:val="Overskrift3Tegn"/>
    <w:uiPriority w:val="9"/>
    <w:unhideWhenUsed/>
    <w:qFormat/>
    <w:pPr>
      <w:spacing w:before="240" w:after="60" w:line="264" w:lineRule="auto"/>
      <w:outlineLvl w:val="2"/>
    </w:pPr>
    <w:rPr>
      <w:rFonts w:eastAsiaTheme="minorHAnsi" w:cs="Times New Roman"/>
      <w:b/>
      <w:color w:val="000000" w:themeColor="text1"/>
      <w:spacing w:val="10"/>
      <w:kern w:val="24"/>
      <w:sz w:val="23"/>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9FE8F7994A94D4A845DC814399D1368">
    <w:name w:val="E9FE8F7994A94D4A845DC814399D1368"/>
  </w:style>
  <w:style w:type="paragraph" w:customStyle="1" w:styleId="7A5F8933A13D42CEA1D03564E33B2687">
    <w:name w:val="7A5F8933A13D42CEA1D03564E33B2687"/>
  </w:style>
  <w:style w:type="paragraph" w:customStyle="1" w:styleId="C291F3E71C18466098F3B6591F39E800">
    <w:name w:val="C291F3E71C18466098F3B6591F39E800"/>
  </w:style>
  <w:style w:type="paragraph" w:customStyle="1" w:styleId="BF89CA5B5CBC4C208275B1CA1DB47BC6">
    <w:name w:val="BF89CA5B5CBC4C208275B1CA1DB47BC6"/>
  </w:style>
  <w:style w:type="paragraph" w:customStyle="1" w:styleId="94B62B6A298A4F32AD6F5F3481984A32">
    <w:name w:val="94B62B6A298A4F32AD6F5F3481984A32"/>
  </w:style>
  <w:style w:type="paragraph" w:customStyle="1" w:styleId="F91169E6241C4985A1E7C4B31FC50BD2">
    <w:name w:val="F91169E6241C4985A1E7C4B31FC50BD2"/>
  </w:style>
  <w:style w:type="character" w:customStyle="1" w:styleId="Overskrift1Tegn">
    <w:name w:val="Overskrift 1 Tegn"/>
    <w:basedOn w:val="Standardskriftforavsnitt"/>
    <w:link w:val="Overskrift1"/>
    <w:uiPriority w:val="9"/>
    <w:rPr>
      <w:rFonts w:asciiTheme="majorHAnsi" w:eastAsiaTheme="minorHAnsi" w:hAnsiTheme="majorHAnsi" w:cs="Times New Roman"/>
      <w:caps/>
      <w:color w:val="44546A" w:themeColor="text2"/>
      <w:kern w:val="24"/>
      <w:sz w:val="32"/>
      <w:szCs w:val="32"/>
    </w:rPr>
  </w:style>
  <w:style w:type="character" w:customStyle="1" w:styleId="Overskrift2Tegn">
    <w:name w:val="Overskrift 2 Tegn"/>
    <w:basedOn w:val="Standardskriftforavsnitt"/>
    <w:link w:val="Overskrift2"/>
    <w:uiPriority w:val="9"/>
    <w:rPr>
      <w:rFonts w:eastAsiaTheme="minorHAnsi" w:cs="Times New Roman"/>
      <w:b/>
      <w:color w:val="5B9BD5" w:themeColor="accent1"/>
      <w:spacing w:val="20"/>
      <w:kern w:val="24"/>
      <w:sz w:val="28"/>
      <w:szCs w:val="28"/>
    </w:rPr>
  </w:style>
  <w:style w:type="character" w:customStyle="1" w:styleId="Overskrift3Tegn">
    <w:name w:val="Overskrift 3 Tegn"/>
    <w:basedOn w:val="Standardskriftforavsnitt"/>
    <w:link w:val="Overskrift3"/>
    <w:uiPriority w:val="9"/>
    <w:rPr>
      <w:rFonts w:eastAsiaTheme="minorHAnsi" w:cs="Times New Roman"/>
      <w:b/>
      <w:color w:val="000000" w:themeColor="text1"/>
      <w:spacing w:val="10"/>
      <w:kern w:val="24"/>
      <w:sz w:val="23"/>
      <w:szCs w:val="23"/>
    </w:rPr>
  </w:style>
  <w:style w:type="paragraph" w:styleId="Sterktsitat">
    <w:name w:val="Intense Quote"/>
    <w:basedOn w:val="Normal"/>
    <w:link w:val="SterktsitatTegn"/>
    <w:uiPriority w:val="30"/>
    <w:qFormat/>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3"/>
    </w:rPr>
  </w:style>
  <w:style w:type="character" w:customStyle="1" w:styleId="SterktsitatTegn">
    <w:name w:val="Sterkt sitat Tegn"/>
    <w:basedOn w:val="Standardskriftforavsnitt"/>
    <w:link w:val="Sterktsitat"/>
    <w:uiPriority w:val="30"/>
    <w:rPr>
      <w:rFonts w:eastAsiaTheme="minorHAnsi" w:cs="Times New Roman"/>
      <w:b/>
      <w:color w:val="ED7D31" w:themeColor="accent2"/>
      <w:kern w:val="24"/>
      <w:sz w:val="23"/>
      <w:szCs w:val="23"/>
      <w:shd w:val="clear" w:color="auto" w:fill="FFFFFF" w:themeFill="background1"/>
    </w:rPr>
  </w:style>
  <w:style w:type="paragraph" w:customStyle="1" w:styleId="31D533E756D54B378B43CFFC0DEC7374">
    <w:name w:val="31D533E756D54B378B43CFFC0DEC7374"/>
  </w:style>
  <w:style w:type="paragraph" w:customStyle="1" w:styleId="7E58EDA0F9B84097B9BD94CBFC2528FF">
    <w:name w:val="7E58EDA0F9B84097B9BD94CBFC2528FF"/>
    <w:rsid w:val="00C82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2015-12-31T00:00:00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B74BA5D4-C60F-47C9-B6B9-54B151B0D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MedianReport</Template>
  <TotalTime>260</TotalTime>
  <Pages>13</Pages>
  <Words>3172</Words>
  <Characters>16817</Characters>
  <Application>Microsoft Office Word</Application>
  <DocSecurity>0</DocSecurity>
  <Lines>140</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Årsrapport 2015</vt: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2015</dc:title>
  <dc:subject>Emballasjeforsk – forskningsnettverket for emballering</dc:subject>
  <dc:creator>Kari Bunes</dc:creator>
  <cp:lastModifiedBy>Kari Bunes</cp:lastModifiedBy>
  <cp:revision>26</cp:revision>
  <cp:lastPrinted>2016-05-09T09:51:00Z</cp:lastPrinted>
  <dcterms:created xsi:type="dcterms:W3CDTF">2016-04-12T09:07:00Z</dcterms:created>
  <dcterms:modified xsi:type="dcterms:W3CDTF">2016-05-09T10:03:00Z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